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10 May 2026</w:t>
      </w:r>
    </w:p>
    <w:p>
      <w:pPr>
        <w:pStyle w:val="BodyText"/>
      </w:pPr>
      <w:r>
        <w:t xml:space="preserve">The Editor-in-Chief</w:t>
      </w:r>
      <w:r>
        <w:t xml:space="preserve"> </w:t>
      </w:r>
      <w:r>
        <w:rPr>
          <w:iCs/>
          <w:i/>
        </w:rPr>
        <w:t xml:space="preserve">Management International Review</w:t>
      </w:r>
      <w:r>
        <w:t xml:space="preserve"> </w:t>
      </w:r>
      <w:r>
        <w:t xml:space="preserve">Springer</w:t>
      </w:r>
    </w:p>
    <w:p>
      <w:r>
        <w:pict>
          <v:rect style="width:0;height:1.5pt" o:hralign="center" o:hrstd="t" o:hr="t"/>
        </w:pict>
      </w:r>
    </w:p>
    <w:p>
      <w:pPr>
        <w:pStyle w:val="FirstParagraph"/>
      </w:pPr>
      <w:r>
        <w:rPr>
          <w:bCs/>
          <w:b/>
        </w:rPr>
        <w:t xml:space="preserve">Submission of Manuscript:</w:t>
      </w:r>
      <w:r>
        <w:rPr>
          <w:bCs/>
          <w:b/>
        </w:rPr>
        <w:t xml:space="preserve"> </w:t>
      </w:r>
      <w:r>
        <w:rPr>
          <w:bCs/>
          <w:b/>
        </w:rPr>
        <w:t xml:space="preserve">“</w:t>
      </w:r>
      <w:r>
        <w:rPr>
          <w:bCs/>
          <w:b/>
        </w:rPr>
        <w:t xml:space="preserve">Technological Capability, Digital Adoption, and the Internationalisation–Performance Relationship: A Firm-Level Study of Singapore</w:t>
      </w:r>
      <w:r>
        <w:rPr>
          <w:bCs/>
          <w:b/>
        </w:rPr>
        <w:t xml:space="preserve">”</w:t>
      </w:r>
    </w:p>
    <w:p>
      <w:pPr>
        <w:pStyle w:val="BodyText"/>
      </w:pPr>
      <w:r>
        <w:t xml:space="preserve">Dear Editor-in-Chief,</w:t>
      </w:r>
    </w:p>
    <w:p>
      <w:pPr>
        <w:pStyle w:val="BodyText"/>
      </w:pPr>
      <w:r>
        <w:t xml:space="preserve">We are pleased to submit the above manuscript for consideration for publication in</w:t>
      </w:r>
      <w:r>
        <w:t xml:space="preserve"> </w:t>
      </w:r>
      <w:r>
        <w:rPr>
          <w:iCs/>
          <w:i/>
        </w:rPr>
        <w:t xml:space="preserve">Management International Review</w:t>
      </w:r>
      <w:r>
        <w:t xml:space="preserve"> </w:t>
      </w:r>
      <w:r>
        <w:t xml:space="preserve">(MIR). The manuscript presents an empirical study of the internationalisation–performance (I–P) relationship using World Bank Enterprise Survey microdata for Singapore (2023; N = 623, N = 617 for specifications including DAI), positioned as an analytically informative boundary-case test at the advanced-economy ceiling of the institutional spectrum.</w:t>
      </w:r>
    </w:p>
    <w:p>
      <w:pPr>
        <w:pStyle w:val="BodyText"/>
      </w:pPr>
      <w:r>
        <w:rPr>
          <w:bCs/>
          <w:b/>
        </w:rPr>
        <w:t xml:space="preserve">Relevance to MIR</w:t>
      </w:r>
    </w:p>
    <w:p>
      <w:pPr>
        <w:pStyle w:val="BodyText"/>
      </w:pPr>
      <w:r>
        <w:t xml:space="preserve">The study speaks directly to MIR’s interest in international business theory across diverse institutional settings. Singapore is an ideal stress-test setting for the I–P relationship because near-universal digital diffusion — what the paper terms the</w:t>
      </w:r>
      <w:r>
        <w:t xml:space="preserve"> </w:t>
      </w:r>
      <w:r>
        <w:rPr>
          <w:iCs/>
          <w:i/>
        </w:rPr>
        <w:t xml:space="preserve">digital saturation paradox</w:t>
      </w:r>
      <w:r>
        <w:t xml:space="preserve"> </w:t>
      </w:r>
      <w:r>
        <w:t xml:space="preserve">— removes the uniform-premium effect of foundational digital adoption and leaves only the export-contingent signal legible. Singapore’s advanced-economy positioning is empirically well-established: it ranks 2nd globally in the StartupBlink Innovators Business Environment Index 2026 (score 99.145 out of 100; 1st in Asia Pacific across 30+ governance, capital access, taxation, and digital-infrastructure parameters), 4th in the Global Startup Ecosystem Index 2025, and 3rd in the United Nations e-Government Survey 2024, with the Smart Nation 2.0 initiative (2024) formalising digital trust and growth as national policy pillars. This configuration provides a theoretically precise complement to I–P studies in emerging-economy settings and advances MIR’s sustained focus on how institutional and digital environments condition the returns to internationalisation.</w:t>
      </w:r>
    </w:p>
    <w:p>
      <w:pPr>
        <w:pStyle w:val="BodyText"/>
      </w:pPr>
      <w:r>
        <w:rPr>
          <w:bCs/>
          <w:b/>
        </w:rPr>
        <w:t xml:space="preserve">Key Contributions</w:t>
      </w:r>
    </w:p>
    <w:p>
      <w:pPr>
        <w:pStyle w:val="BodyText"/>
      </w:pPr>
      <w:r>
        <w:t xml:space="preserve">First, within the observed export-intensity range, the I–P relationship in Singapore is better characterised as predominantly positive with mild quadratic curvature than as a formally identified inverted-U. The fitted quadratic implies a turning point in the upper tail (~88% export intensity), but that point falls in a sparsely populated region of the data — consistent with theoretical expectations that advanced-economy digital infrastructure attenuates the coordination-cost mechanism underlying the classic inverted-U until very high levels of export intensity.</w:t>
      </w:r>
    </w:p>
    <w:p>
      <w:pPr>
        <w:pStyle w:val="BodyText"/>
      </w:pPr>
      <w:r>
        <w:t xml:space="preserve">Second, the study introduces the concept of a</w:t>
      </w:r>
      <w:r>
        <w:t xml:space="preserve"> </w:t>
      </w:r>
      <w:r>
        <w:rPr>
          <w:iCs/>
          <w:i/>
        </w:rPr>
        <w:t xml:space="preserve">digital saturation paradox</w:t>
      </w:r>
      <w:r>
        <w:t xml:space="preserve">: in an environment where Tier 1–2 digital interfaces (websites, electronic payment systems) are already widely diffused, foundational digital adoption functions as a hygiene factor for domestic operations rather than a differentiating asset. DAI’s productivity association becomes measurable primarily in the high-export tail (β₅ for FSTS²×DAI = +3.119, p = .005), suggesting that digital adoption operates as a contingent scaling resource rather than a uniform productivity premium.</w:t>
      </w:r>
    </w:p>
    <w:p>
      <w:pPr>
        <w:pStyle w:val="BodyText"/>
      </w:pPr>
      <w:r>
        <w:t xml:space="preserve">Third, the study provides the clearest empirical separation to date between Technological Capability Index (TCI; quality certification, R&amp;D, product innovation, foreign-licensed technology) and Digital Adoption Index (DAI; website presence, electronic payment) as non-overlapping constructs in a WBES-based I–P study — a design feature that directly operationalises the Conditional Digital Capability Moderation (CDCM) framework.</w:t>
      </w:r>
    </w:p>
    <w:p>
      <w:pPr>
        <w:pStyle w:val="BodyText"/>
      </w:pPr>
      <w:r>
        <w:rPr>
          <w:bCs/>
          <w:b/>
        </w:rPr>
        <w:t xml:space="preserve">Originality and Conflicts of Interest</w:t>
      </w:r>
    </w:p>
    <w:p>
      <w:pPr>
        <w:pStyle w:val="BodyText"/>
      </w:pPr>
      <w:r>
        <w:t xml:space="preserve">This manuscript is original, has not been published previously, and is not under consideration for publication elsewhere. All authors have approved the manuscript and agree to its submission. The authors declare no conflict of interest. This research received no specific grant from any funding agency in the public, commercial, or not-for-profit sectors.</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excluding abstract, references, tables, and figures): approximately 6,500 words</w:t>
      </w:r>
    </w:p>
    <w:p>
      <w:pPr>
        <w:numPr>
          <w:ilvl w:val="0"/>
          <w:numId w:val="1001"/>
        </w:numPr>
        <w:pStyle w:val="Compact"/>
      </w:pPr>
      <w:r>
        <w:t xml:space="preserve">Keywords: internationalisation–performance relationship; digital adoption; technological capability; export intensity; labour productivity; Singapore</w:t>
      </w:r>
    </w:p>
    <w:p>
      <w:pPr>
        <w:numPr>
          <w:ilvl w:val="0"/>
          <w:numId w:val="1001"/>
        </w:numPr>
        <w:pStyle w:val="Compact"/>
      </w:pPr>
      <w:r>
        <w:t xml:space="preserve">JEL classification: F23, O33, L25, O53</w:t>
      </w:r>
    </w:p>
    <w:p>
      <w:pPr>
        <w:pStyle w:val="FirstParagraph"/>
      </w:pPr>
      <w:r>
        <w:t xml:space="preserve">We hope the manuscript will be of interest to MIR’s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w:t>
      </w:r>
      <w:r>
        <w:t xml:space="preserve"> </w:t>
      </w:r>
      <w:r>
        <w:t xml:space="preserve">College of Economics, Can Tho University (CTU), Vietnam</w:t>
      </w:r>
      <w:r>
        <w:t xml:space="preserve"> </w:t>
      </w:r>
      <w:r>
        <w:t xml:space="preserve">Email: huongp1323001@gstudent.ctu.edu.vn | ORCID: 0000-0002-7711-2487</w:t>
      </w:r>
    </w:p>
    <w:p>
      <w:pPr>
        <w:pStyle w:val="BodyText"/>
      </w:pPr>
      <w:r>
        <w:rPr>
          <w:bCs/>
          <w:b/>
        </w:rPr>
        <w:t xml:space="preserve">PGS.TS. Phan Anh Tú (Phan Anh Tu)</w:t>
      </w:r>
      <w:r>
        <w:t xml:space="preserve"> </w:t>
      </w:r>
      <w:r>
        <w:t xml:space="preserve">Associate Professor, College of Economics</w:t>
      </w:r>
      <w:r>
        <w:t xml:space="preserve"> </w:t>
      </w:r>
      <w:r>
        <w:t xml:space="preserve">Can Tho University (CTU), Vietnam</w:t>
      </w:r>
      <w:r>
        <w:t xml:space="preserve"> </w:t>
      </w:r>
      <w:r>
        <w:rPr>
          <w:iCs/>
          <w:i/>
        </w:rPr>
        <w:t xml:space="preserve">Corresponding author</w:t>
      </w:r>
      <w:r>
        <w:t xml:space="preserve"> </w:t>
      </w:r>
      <w:r>
        <w:t xml:space="preserve">Email: patu@ctu.edu.vn | ORCID: 0000-0003-0667-3137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2026-05-14T10:22:57Z</dcterms:created>
  <dcterms:modified xsi:type="dcterms:W3CDTF">2026-05-14T10:22:57Z</dcterms:modified>
</cp:coreProperties>
</file>

<file path=docProps/custom.xml><?xml version="1.0" encoding="utf-8"?>
<Properties xmlns="http://schemas.openxmlformats.org/officeDocument/2006/custom-properties" xmlns:vt="http://schemas.openxmlformats.org/officeDocument/2006/docPropsVTypes"/>
</file>