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237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237,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the Q_M is driven by a</w:t>
      </w:r>
      <w:r>
        <w:t xml:space="preserve"> </w:t>
      </w:r>
      <w:r>
        <w:rPr>
          <w:iCs/>
          <w:i/>
        </w:rPr>
        <w:t xml:space="preserve">k</w:t>
      </w:r>
      <w:r>
        <w:t xml:space="preserve"> </w:t>
      </w:r>
      <w:r>
        <w:t xml:space="preserve">= 3 Frontier-group anomaly rather than a monotone institutional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(H2, H3 not supported). The most substantive finding is publication bias (H4 confirmed):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237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237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237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studies from 49 economies, K = 287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at k = 3 Frontier. (2) cDAI — Country Digital Adoption Index (H3) — hypothesised positive amplification [High &gt; Low]; actual Q_M = 1.34 (p = .513), H3 not supported. (3) DPL Phase (H2) — hypothesised Follow &gt; Precede; actual Q_M = 0.62 (p = .734), H2 not supported. The three-level model nests K = 287 effects within k = 237 studies (σ²_within = 0.00878, I²_(2) = 54.1%) within between-study heterogeneity (σ²_between = 0.00136, I²_(3) = 8.4%); total I² = 62.5%. Publication bias (H4 confirmed): Egger's b = 0.487 (p = .052), Begg's τ = −0.132 (p = .001); trim-and-fill imputes k = 57 studies, adjusted r = 0.035; fail-safe N = 44,782.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between-regime Q_M test is statistically significant as hypothesized. Exploratory Propositions E1a (Advanced largest) and E1b (Frontier smallest) are</w:t>
      </w:r>
      <w:r>
        <w:t xml:space="preserve"> </w:t>
      </w:r>
      <w:r>
        <w:rPr>
          <w:bCs/>
          <w:b/>
        </w:rPr>
        <w:t xml:space="preserve">not meta-analytically confirmed</w:t>
      </w:r>
      <w:r>
        <w:t xml:space="preserve">: the significant Q_M is driven by the</w:t>
      </w:r>
      <w:r>
        <w:t xml:space="preserve"> </w:t>
      </w:r>
      <w:r>
        <w:rPr>
          <w:iCs/>
          <w:i/>
        </w:rPr>
        <w:t xml:space="preserve">k</w:t>
      </w:r>
      <w:r>
        <w:t xml:space="preserve"> </w:t>
      </w:r>
      <w:r>
        <w:t xml:space="preserve">= 3 Frontier-group anomaly rather than a monotone institutional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 (between-regime heterogeneity</w:t>
      </w:r>
      <w:r>
        <w:t xml:space="preserve"> </w:t>
      </w:r>
      <w:r>
        <w:rPr>
          <w:iCs/>
          <w:i/>
        </w:rPr>
        <w:t xml:space="preserve">Q</w:t>
      </w:r>
      <w:r>
        <w:t xml:space="preserve">_M significant) is confirmed, establishing that I→P effect sizes vary systematically across ICRV regimes. However, E1a's predicted directional ordering (Advanced &gt; Emerging) and E1b's predicted Frontier floor are not statistically confirmable at</w:t>
      </w:r>
      <w:r>
        <w:t xml:space="preserve"> </w:t>
      </w:r>
      <w:r>
        <w:rPr>
          <w:iCs/>
          <w:i/>
        </w:rPr>
        <w:t xml:space="preserve">k</w:t>
      </w:r>
      <w:r>
        <w:t xml:space="preserve"> </w:t>
      </w:r>
      <w:r>
        <w:t xml:space="preserve">= 3 Frontier. The gradient-specific propositions require larger</w:t>
      </w:r>
      <w:r>
        <w:t xml:space="preserve"> </w:t>
      </w:r>
      <w:r>
        <w:rPr>
          <w:iCs/>
          <w:i/>
        </w:rPr>
        <w:t xml:space="preserve">k</w:t>
      </w:r>
      <w:r>
        <w:t xml:space="preserve"> </w:t>
      </w:r>
      <w:r>
        <w:t xml:space="preserve">per regime before they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just above the conventional α = .05 threshold; this criterion does not reach statistical significance, and funnel asymmetry 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is driven by the</w:t>
      </w:r>
      <w:r>
        <w:t xml:space="preserve"> </w:t>
      </w:r>
      <w:r>
        <w:rPr>
          <w:iCs/>
          <w:i/>
        </w:rPr>
        <w:t xml:space="preserve">k</w:t>
      </w:r>
      <w:r>
        <w:t xml:space="preserve"> </w:t>
      </w:r>
      <w:r>
        <w:t xml:space="preserve">= 3 Frontier contrast rather than by well-powered pairwise contrasts across the Advanced/Upper-middle/Emerging cells,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0.068) does not reach significance — a result that 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is the most comprehensive quantitative synthesis of I→P evidence to apply three-level modeling, extending the ICBEF 2025 Asia-Pacific baseline (</w:t>
      </w:r>
      <w:r>
        <w:rPr>
          <w:iCs/>
          <w:i/>
        </w:rPr>
        <w:t xml:space="preserve">k</w:t>
      </w:r>
      <w:r>
        <w:t xml:space="preserve"> </w:t>
      </w:r>
      <w:r>
        <w:t xml:space="preserve">= 113) by 124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237 sample lacks sufficient between-regime 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 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237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2026-05-17T07:58:06Z</dcterms:created>
  <dcterms:modified xsi:type="dcterms:W3CDTF">2026-05-17T07:58:06Z</dcterms:modified>
</cp:coreProperties>
</file>

<file path=docProps/custom.xml><?xml version="1.0" encoding="utf-8"?>
<Properties xmlns="http://schemas.openxmlformats.org/officeDocument/2006/custom-properties" xmlns:vt="http://schemas.openxmlformats.org/officeDocument/2006/docPropsVTypes"/>
</file>