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số quốc tế trên tổng doanh số</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quốc tế hóa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ngưỡng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ngưỡng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ngưỡng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ngưỡng giữa các nhóm ICRV và giai đoạn thời gian. Phần mềm: Stata 18 (OLS, IV, margins) kết hợp R (LOWESS, ggplot2, CI điểm ngưỡng).</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ngưỡng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ngưỡng,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quốc tế hóa.</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ngưỡng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ngưỡng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ngưỡng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ngưỡng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ngưỡng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ngưỡng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quốc tế hóa đối mặt với chi phí học tập ban đầu, sau đó thu được lợi ích quy mô, nhưng vượt quá ngưỡng nhất định lại chịu chi phí phối hợp. Bằng chứng P3 Việt Nam (điểm ngưỡng 39–46%) và P5 Trung Quốc (điểm ngưỡng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quốc tế hóa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ngưỡng thấp nhất (~28%, P7 toàn mẫu)</w:t>
      </w:r>
      <w:r>
        <w:t xml:space="preserve"> </w:t>
      </w:r>
      <w:r>
        <w:t xml:space="preserve">— thể chế mạnh giúp doanh nghiệp đạt đỉnh hiệu suất ở mức FSTS thấp hơn; Nhóm III có điểm ngưỡng trung bình (47–49%); Nhóm IV có điểm ngưỡng trung bình–thấp (39–46%); Nhóm V có điểm ngưỡng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ngưỡng 39–46%. P5 Trung Quốc (Nhóm III): Lind–Mehlum xác nhận hai sóng, điểm ngưỡng 47–49%. P4 Singapore (Nhóm I): Lind–Mehlum p = 0,303 — chủ yếu dương, điểm ngưỡng ~82%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ngưỡng).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ngưỡng.</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ngưỡng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ngưỡng.</w:t>
      </w:r>
    </w:p>
    <w:p>
      <w:pPr>
        <w:pStyle w:val="BodyText"/>
      </w:pPr>
      <w:r>
        <w:t xml:space="preserve">Dự đoán điểm ngưỡng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ngưỡng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ngưỡng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ngưỡng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ngưỡng:</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ngưỡng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ngưỡng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ngưỡng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ngưỡng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(chủ yếu ở Tầng 2 trong-nghiên-cứu = 54,1%; Tầng 3 giữa-nghiên-cứu = 8,4%); ICRV omnibus Q_M=17,35 (df=4, p=,002) — H1 (kiểm định Q_M liên nhóm) được hỗ trợ nhưng gradient đơn điệu E1a/E1b chưa xác nhận được vì</w:t>
      </w:r>
      <w:r>
        <w:t xml:space="preserve"> </w:t>
      </w:r>
      <m:oMath>
        <m:sSub>
          <m:e>
            <m:r>
              <m:t>Q</m:t>
            </m:r>
          </m:e>
          <m:sub>
            <m:r>
              <m:t>M</m:t>
            </m:r>
          </m:sub>
        </m:sSub>
      </m:oMath>
      <w:r>
        <w:t xml:space="preserve"> </w:t>
      </w:r>
      <w:r>
        <w:t xml:space="preserve">bị chi phối bởi ô Frontier thưa (k=3); cDAI (Q_M=1,23, p=,541) và DPL (Q_M=0,56, p=,755) không có ý nghĩa (H2, H3 không được hỗ trợ). Phát hiện chính: publication bias xác nhận qua Begg–Mazumdar τ=−0,134 (p=,0007) và trim-and-fill k=58 imputed,</w:t>
      </w:r>
      <w:r>
        <w:t xml:space="preserve"> </w:t>
      </w:r>
      <w:r>
        <w:rPr>
          <w:iCs/>
          <w:i/>
        </w:rPr>
        <w:t xml:space="preserve">r</w:t>
      </w:r>
      <w:r>
        <w:t xml:space="preserve">_adj=0,035 (CI [0,023; 0,048]) — pooled effect thực tế thấp hơn khoảng 53% so với ước lượng thô (Egger b=0,475, p=,057 — sát ngưỡng nhưng không đạt α=,05). Đóng góp của P6 trong khuôn khổ CD2: xác nhận Q_M liên-nhóm ICRV có ý nghĩa thống kê; đồng thời cho thấy dị biệt phương sai</w:t>
      </w:r>
      <w:r>
        <w:t xml:space="preserve"> </w:t>
      </w:r>
      <w:r>
        <w:rPr>
          <w:bCs/>
          <w:b/>
        </w:rPr>
        <w:t xml:space="preserve">chủ yếu nằm ở trong từng nghiên cứu</w:t>
      </w:r>
      <w:r>
        <w:t xml:space="preserve"> </w:t>
      </w:r>
      <w:r>
        <w:t xml:space="preserve">(Tầng 2 = 54,1%, gấp khoảng sáu lần Tầng 3 = 8,4%), gợi ý rằng các lựa chọn phương pháp bên trong nghiên cứu — chứ không phải sự khác biệt thể chế hay số hoá giữa các quốc gia — là nguồn chính của heterogeneity quan sát được; thiên lệch công bố là một phát hiện riêng làm giảm ước lượng hiệu ứng thực.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ngưỡng 46,2% (2009), 39,3% (2015), 41,6% (2023), 39,7% (tổng hợp); TCI nhân quả (β = 1,639, F bậc một = 22,1); DAI phụ thuộc chọn lựa (β_IV = 0,018, F bậc một = 34,6); Paternoster z = 3,353 giữa điểm ngưỡng 2009 và 2015 (p &lt; 0,001).</w:t>
      </w:r>
    </w:p>
    <w:p>
      <w:pPr>
        <w:pStyle w:val="BodyText"/>
      </w:pPr>
      <w:r>
        <w:t xml:space="preserve">P4 — Singapore (MIR, under review): Mar, K. S., Đỗ, T. H., &amp; Phan, A. T. (2026). Phân tích 623 doanh nghiệp WBES 2023. Kết quả chính: đường cong I→P chủ yếu dương; điểm ngưỡng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ngưỡng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ngưỡng, và 95% CI điểm ngưỡng.</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2026-05-25T00:54:56Z</dcterms:created>
  <dcterms:modified xsi:type="dcterms:W3CDTF">2026-05-25T00:54:56Z</dcterms:modified>
</cp:coreProperties>
</file>

<file path=docProps/custom.xml><?xml version="1.0" encoding="utf-8"?>
<Properties xmlns="http://schemas.openxmlformats.org/officeDocument/2006/custom-properties" xmlns:vt="http://schemas.openxmlformats.org/officeDocument/2006/docPropsVTypes"/>
</file>