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bối cảnh thể chế (Institutional Context Regime Variation — ICRV): Advanced đổi mới sáng tạo dẫn dắt (innovation-driven, 5 nước), Advanced tài nguyên dẫn dắt (resource-driven, 5 nước), Upper-middle (6 nước), Emerging (7 nước), Frontier (17 nước), và Quốc đảo nhỏ Thái Bình Dương (Small Island Developing States — SIDS, 7 nước,</w:t>
      </w:r>
      <w:r>
        <w:t xml:space="preserve"> </w:t>
      </w:r>
      <w:r>
        <w:rPr>
          <w:bCs/>
          <w:b/>
        </w:rPr>
        <w:t xml:space="preserve">boundary case extension</w:t>
      </w:r>
      <w:r>
        <w:t xml:space="preserve">).</w:t>
      </w:r>
    </w:p>
    <w:p>
      <w:pPr>
        <w:pStyle w:val="BlockText"/>
      </w:pPr>
      <w:r>
        <w:rPr>
          <w:bCs/>
          <w:b/>
        </w:rPr>
        <w:t xml:space="preserve">Lưu ý phạm vi (scope clarification, v3.3)</w:t>
      </w:r>
      <w:r>
        <w:t xml:space="preserve">: Tiêu đề luận án theo Quyết định 4769/QĐ-ĐHCT (15/10/2024) tập trung</w:t>
      </w:r>
      <w:r>
        <w:t xml:space="preserve"> </w:t>
      </w:r>
      <w:r>
        <w:rPr>
          <w:bCs/>
          <w:b/>
        </w:rPr>
        <w:t xml:space="preserve">"Châu Á"</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 "Asia and Pacific" 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 đặc biệt H6 (forced internationalization penalty) trong CĐ2. Chi tiết phân tích firm-level cho SIDS Pacific được tách thành bản thảo P8 riêng (Đỗ &amp; Phan, đang chuẩn bị)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 sáu tiểu cảnh trong scope chính; SIDS Thái Bình Dương —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gánh nặng quốc tế hóa bắt buộc (forced internationalization penalty)</w:t>
      </w:r>
      <w:r>
        <w:t xml:space="preserve"> </w:t>
      </w:r>
      <w:r>
        <w:t xml:space="preserve">ở 7 SIDS Thái Bình Dương boundary case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trường hợp biên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w:t>
      </w:r>
      <w:r>
        <w:t xml:space="preserve"> </w:t>
      </w:r>
      <w:r>
        <w:rPr>
          <w:bCs/>
          <w:b/>
        </w:rPr>
        <w:t xml:space="preserve">boundary case extension</w:t>
      </w:r>
      <w:r>
        <w:t xml:space="preserve">).</w:t>
      </w:r>
    </w:p>
    <w:p>
      <w:pPr>
        <w:pStyle w:val="BlockText"/>
      </w:pPr>
      <w:r>
        <w:rPr>
          <w:bCs/>
          <w:b/>
        </w:rPr>
        <w:t xml:space="preserve">Scope clarification (v3.3)</w:t>
      </w:r>
      <w:r>
        <w:t xml:space="preserve">: The dissertation title under Decision 4769/QĐ-ĐHCT (October 15, 2024) focuses on</w:t>
      </w:r>
      <w:r>
        <w:t xml:space="preserve"> </w:t>
      </w:r>
      <w:r>
        <w:rPr>
          <w:bCs/>
          <w:b/>
        </w:rPr>
        <w:t xml:space="preserve">"Asia"</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SIDS (Fiji, Papua New Guinea, Solomon Islands, Tonga, Vanuatu, Samoa, Kiribati) as a boundary case extension</w:t>
      </w:r>
      <w:r>
        <w:t xml:space="preserve"> </w:t>
      </w:r>
      <w:r>
        <w:t xml:space="preserve">under the Asian Development Bank's "Asia and Pacific" classification and the World Bank's East Asia and Pacific (EAP) Region. Pacific SIDS (n=1,371,</w:t>
      </w:r>
      <w:r>
        <w:t xml:space="preserve"> </w:t>
      </w:r>
      <w:r>
        <w:rPr>
          <w:bCs/>
          <w:b/>
        </w:rPr>
        <w:t xml:space="preserve">1.4% of pool</w:t>
      </w:r>
      <w:r>
        <w:t xml:space="preserve">) does NOT belong to the primary scope but is included to illuminate Asian patterns through contrast — particularly H6 (forced internationalization penalty) in Specialty Essay 2. Detailed firm-level analysis for Pacific SIDS is separated into manuscript P8 (Do &amp; Phan, in preparation, target</w:t>
      </w:r>
      <w:r>
        <w:t xml:space="preserve"> </w:t>
      </w:r>
      <w:r>
        <w:rPr>
          <w:iCs/>
          <w:i/>
        </w:rPr>
        <w:t xml:space="preserve">World Development</w:t>
      </w:r>
      <w:r>
        <w:t xml:space="preserve">)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 — orienting contributions for the dissertation and Specialty Essay 2.</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(Tự động tạo khi xuất Word/PDF từ markdown — căn cứ heading H2/H3.)</w:t>
      </w:r>
    </w:p>
    <w:p>
      <w:r>
        <w:pict>
          <v:rect style="width:0;height:1.5pt" o:hralign="center" o:hrstd="t" o:hr="t"/>
        </w:pict>
      </w:r>
    </w:p>
    <w:bookmarkEnd w:id="24"/>
    <w:bookmarkStart w:id="25" w:name="danh-mục-bảng"/>
    <w:p>
      <w:pPr>
        <w:pStyle w:val="Heading2"/>
      </w:pPr>
      <w:r>
        <w:t xml:space="preserve">DANH MỤC BẢNG</w:t>
      </w:r>
    </w:p>
    <w:p>
      <w:pPr>
        <w:pStyle w:val="FirstParagraph"/>
      </w:pPr>
      <w:r>
        <w:t xml:space="preserve">(Giữ nguyên từ v3.1 — 10 bảng từ §2.1 đến §6.1.)</w:t>
      </w:r>
    </w:p>
    <w:bookmarkEnd w:id="25"/>
    <w:bookmarkStart w:id="26" w:name="danh-mục-hình"/>
    <w:p>
      <w:pPr>
        <w:pStyle w:val="Heading2"/>
      </w:pPr>
      <w:r>
        <w:t xml:space="preserve">DANH MỤC HÌNH</w:t>
      </w:r>
    </w:p>
    <w:p>
      <w:pPr>
        <w:pStyle w:val="FirstParagraph"/>
      </w:pPr>
      <w:r>
        <w:t xml:space="preserve">(Giữ nguyên từ v3.1 — 11 hình bao gồm 6 hình mới tạo v3.0 ở</w:t>
      </w:r>
      <w:r>
        <w:t xml:space="preserve"> </w:t>
      </w:r>
      <w:r>
        <w:rPr>
          <w:rStyle w:val="VerbatimChar"/>
        </w:rPr>
        <w:t xml:space="preserve">thesis/figures/</w:t>
      </w:r>
      <w:r>
        <w:t xml:space="preserve">.)</w:t>
      </w:r>
    </w:p>
    <w:bookmarkEnd w:id="26"/>
    <w:bookmarkStart w:id="27" w:name="danh-mục-từ-viết-tắt"/>
    <w:p>
      <w:pPr>
        <w:pStyle w:val="Heading2"/>
      </w:pPr>
      <w:r>
        <w:t xml:space="preserve">DANH MỤC TỪ VIẾT TẮT</w:t>
      </w:r>
    </w:p>
    <w:p>
      <w:pPr>
        <w:pStyle w:val="FirstParagraph"/>
      </w:pPr>
      <w:r>
        <w:t xml:space="preserve">(Giữ nguyên từ v3.1b — 30+ acronyms với giải thích Việt-Anh.)</w:t>
      </w:r>
    </w:p>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 Vietnam Economic Outlook) ghi nhận GDP lịch sử 2025 đạt 8,0%</w:t>
      </w:r>
      <w:r>
        <w:t xml:space="preserve"> </w:t>
      </w:r>
      <w:r>
        <w:t xml:space="preserve">— mức cao nhất khu vực Đông Nam Á —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(NotebookLM, 2026</w:t>
      </w:r>
      <w:r>
        <w:t xml:space="preserve"> </w:t>
      </w:r>
      <w:r>
        <w:rPr>
          <w:iCs/>
          <w:i/>
        </w:rPr>
        <w:t xml:space="preserve">Tariff Mỹ + Vietnam Macro Deep + Zombie Firms</w:t>
      </w:r>
      <w:r>
        <w:t xml:space="preserve"> </w:t>
      </w:r>
      <w:r>
        <w:t xml:space="preserve">07/05/2026;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w:t>
      </w:r>
      <w:r>
        <w:t xml:space="preserve">(NotebookLM, 2026</w:t>
      </w:r>
      <w:r>
        <w:t xml:space="preserve"> </w:t>
      </w:r>
      <w:r>
        <w:rPr>
          <w:iCs/>
          <w:i/>
        </w:rPr>
        <w:t xml:space="preserve">Bẫy đo lường số hóa Châu Á</w:t>
      </w:r>
      <w:r>
        <w:t xml:space="preserve">). Ẩn dụ này dẫn vào §2.6 (3 điều kiện cấu trúc của U-curve) và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p>
    <w:p>
      <w:pPr>
        <w:numPr>
          <w:ilvl w:val="0"/>
          <w:numId w:val="1004"/>
        </w:numPr>
        <w:pStyle w:val="Compact"/>
      </w:pPr>
      <w:r>
        <w:t xml:space="preserve">(i)</w:t>
      </w:r>
      <w:r>
        <w:t xml:space="preserve"> </w:t>
      </w:r>
      <w:r>
        <w:rPr>
          <w:bCs/>
          <w:b/>
        </w:rPr>
        <w:t xml:space="preserve">Trường hợp biên cực trị (extreme boundary case)</w:t>
      </w:r>
      <w:r>
        <w:t xml:space="preserve"> </w:t>
      </w:r>
      <w:r>
        <w:t xml:space="preserve">cho ICRV regime classification (§3.2);</w:t>
      </w:r>
    </w:p>
    <w:p>
      <w:pPr>
        <w:numPr>
          <w:ilvl w:val="0"/>
          <w:numId w:val="1004"/>
        </w:numPr>
        <w:pStyle w:val="Compact"/>
      </w:pPr>
      <w:r>
        <w:t xml:space="preserve">(ii)</w:t>
      </w:r>
      <w:r>
        <w:t xml:space="preserve"> </w:t>
      </w:r>
      <w:r>
        <w:rPr>
          <w:bCs/>
          <w:b/>
        </w:rPr>
        <w:t xml:space="preserve">Đối chứng (counterfactual)</w:t>
      </w:r>
      <w:r>
        <w:t xml:space="preserve"> </w:t>
      </w:r>
      <w:r>
        <w:t xml:space="preserve">cho pattern châu Á — đặc biệt §5.7 SIDS Thái Bình Dương và §7.3.1 (3) digital theatre;</w:t>
      </w:r>
    </w:p>
    <w:p>
      <w:pPr>
        <w:numPr>
          <w:ilvl w:val="0"/>
          <w:numId w:val="1004"/>
        </w:numPr>
        <w:pStyle w:val="Compact"/>
      </w:pPr>
      <w:r>
        <w:t xml:space="preserve">(iii)</w:t>
      </w:r>
      <w:r>
        <w:t xml:space="preserve"> </w:t>
      </w:r>
      <w:r>
        <w:rPr>
          <w:bCs/>
          <w:b/>
        </w:rPr>
        <w:t xml:space="preserve">Bằng chứng cho H6</w:t>
      </w:r>
      <w:r>
        <w:t xml:space="preserve"> </w:t>
      </w:r>
      <w:r>
        <w:t xml:space="preserve">(forced internationalization penalty) trong Chuyên đề 2.</w:t>
      </w:r>
    </w:p>
    <w:p>
      <w:pPr>
        <w:pStyle w:val="FirstParagraph"/>
      </w:pPr>
      <w:r>
        <w:rPr>
          <w:bCs/>
          <w:b/>
        </w:rPr>
        <w:t xml:space="preserve">Chi tiết phân tích firm-level cho SIDS Pacific</w:t>
      </w:r>
      <w:r>
        <w:t xml:space="preserve"> </w:t>
      </w:r>
      <w:r>
        <w:t xml:space="preserve">(gồm Kiribati extreme; Pacific MIRAB model — Bertram, 2006; vulnerability — Briguglio, 1995) được tách thành</w:t>
      </w:r>
      <w:r>
        <w:t xml:space="preserve"> </w:t>
      </w:r>
      <w:r>
        <w:rPr>
          <w:bCs/>
          <w:b/>
        </w:rPr>
        <w:t xml:space="preserve">bản thảo P8 riêng</w:t>
      </w:r>
      <w:r>
        <w:t xml:space="preserve"> </w:t>
      </w:r>
      <w:r>
        <w:t xml:space="preserve">(Đỗ &amp; Phan, đang chuẩn bị, target</w:t>
      </w:r>
      <w:r>
        <w:t xml:space="preserve"> </w:t>
      </w:r>
      <w:r>
        <w:rPr>
          <w:iCs/>
          <w:i/>
        </w:rPr>
        <w:t xml:space="preserve">World Development</w:t>
      </w:r>
      <w:r>
        <w:t xml:space="preserve">) để bảo đảm</w:t>
      </w:r>
      <w:r>
        <w:t xml:space="preserve"> </w:t>
      </w:r>
      <w:r>
        <w:rPr>
          <w:bCs/>
          <w:b/>
        </w:rPr>
        <w:t xml:space="preserve">scope coherence</w:t>
      </w:r>
      <w:r>
        <w:t xml:space="preserve"> </w:t>
      </w:r>
      <w:r>
        <w:t xml:space="preserve">cho luận án thuần "Châu Á" 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 IFC Private Sector Development Blueprint</w:t>
      </w:r>
      <w:r>
        <w:t xml:space="preserve">: Báo cáo IFC (n.d. —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 lao động, tài chính, năng lượng, internet); (iii)</w:t>
      </w:r>
      <w:r>
        <w:t xml:space="preserve"> </w:t>
      </w:r>
      <w:r>
        <w:rPr>
          <w:bCs/>
          <w:b/>
        </w:rPr>
        <w:t xml:space="preserve">động lực thị trường</w:t>
      </w:r>
      <w:r>
        <w:t xml:space="preserve"> </w:t>
      </w:r>
      <w:r>
        <w:t xml:space="preserve">(market dynamics —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 "n.a." (không áp dụng). Các nguyên tắc này bảo đảm tính so sánh xuyên quốc gia và xuyên thời gian của 47 nền kinh tế trong pool 101.185 doanh nghiệp (cited World Bank, 2025 — Hệ thống phân loại quốc gia FY26 + n.d. —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 mở rộng pattern hiệu ứng lá chắn số (digital shield effect) từ 17 nước (Đỗ &amp; Phan, 2026 — VEFR) lên 47 nước (xem §4.4 và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 —</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 —</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gánh nặng quốc tế hóa bắt buộc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37" w:name="X6a96fa224f36a19d68653d3e10335f396843985"/>
    <w:p>
      <w:pPr>
        <w:pStyle w:val="Heading2"/>
      </w:pPr>
      <w:r>
        <w:t xml:space="preserve">CHƯƠNG 2 — CƠ SỞ LÝ LUẬN VỀ HIỆU QUẢ HOẠT ĐỘNG KINH DOANH</w:t>
      </w:r>
    </w:p>
    <w:p>
      <w:pPr>
        <w:pStyle w:val="FirstParagraph"/>
      </w:pPr>
      <w:r>
        <w:t xml:space="preserve">(Giữ nguyên từ v3.0/3.1 — xem commit</w:t>
      </w:r>
      <w:r>
        <w:t xml:space="preserve"> </w:t>
      </w:r>
      <w:r>
        <w:rPr>
          <w:rStyle w:val="VerbatimChar"/>
        </w:rPr>
        <w:t xml:space="preserve">cd4276a</w:t>
      </w:r>
      <w:r>
        <w:t xml:space="preserve"> </w:t>
      </w:r>
      <w:r>
        <w:t xml:space="preserve">cho 5 tiểu mục đầy đủ §2.1-§2.5: khái niệm; chiều đo lường; meta-analysis; chuẩn hóa xuyên quốc gia; ba khung lý thuyết.)</w:t>
      </w:r>
    </w:p>
    <w:bookmarkStart w:id="35" w:name="X4c0732984da07cecc2bb03685008189b4ec6c8b"/>
    <w:p>
      <w:pPr>
        <w:pStyle w:val="Heading3"/>
      </w:pPr>
      <w:r>
        <w:t xml:space="preserve">§2.6 ĐIỀU KIỆN BIÊN CHO U-CURVE LU &amp; BEAMISH (2004)</w:t>
      </w:r>
    </w:p>
    <w:p>
      <w:pPr>
        <w:pStyle w:val="FirstParagraph"/>
      </w:pPr>
      <w:r>
        <w:t xml:space="preserve">NotebookLM podcast 06/05/2026</w:t>
      </w:r>
      <w:r>
        <w:t xml:space="preserve"> </w:t>
      </w:r>
      <w:r>
        <w:rPr>
          <w:iCs/>
          <w:i/>
        </w:rPr>
        <w:t xml:space="preserve">Bẫy đo lường số hóa Châu Á</w:t>
      </w:r>
      <w:r>
        <w:t xml:space="preserve"> </w:t>
      </w:r>
      <w:r>
        <w:t xml:space="preserve">khuyến nghị: việc nhét khái niệm "gánh nặng quốc tế hóa bắt buộc SIDS Pacific" vào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w:t>
      </w:r>
      <m:oMath>
        <m:r>
          <m:t>80.000</m:t>
        </m:r>
        <m:r>
          <m:rPr>
            <m:sty m:val="p"/>
          </m:rPr>
          <m:t>)</m:t>
        </m:r>
        <m:r>
          <m:rPr>
            <m:sty m:val="p"/>
          </m:rPr>
          <m:t>,</m:t>
        </m:r>
        <m:r>
          <m:t>T</m:t>
        </m:r>
        <m:r>
          <m:t>r</m:t>
        </m:r>
        <m:r>
          <m:t>u</m:t>
        </m:r>
        <m:r>
          <m:t>n</m:t>
        </m:r>
        <m:r>
          <m:t>g</m:t>
        </m:r>
        <m:r>
          <m:t>Q</m:t>
        </m:r>
        <m:r>
          <m:t>u</m:t>
        </m:r>
        <m:r>
          <m:t>ố</m:t>
        </m:r>
        <m:r>
          <m:t>c</m:t>
        </m:r>
        <m:d>
          <m:dPr>
            <m:begChr m:val="("/>
            <m:endChr m:val=")"/>
            <m:sepChr m:val=""/>
            <m:grow/>
          </m:dPr>
          <m:e>
            <m:r>
              <m:t>1</m:t>
            </m:r>
            <m:r>
              <m:rPr>
                <m:sty m:val="p"/>
              </m:rPr>
              <m:t>,</m:t>
            </m:r>
            <m:r>
              <m:t>4</m:t>
            </m:r>
            <m:r>
              <m:t>t</m:t>
            </m:r>
            <m:r>
              <m:t>ỷ</m:t>
            </m:r>
            <m:r>
              <m:t>d</m:t>
            </m:r>
            <m:r>
              <m:t>â</m:t>
            </m:r>
            <m:r>
              <m:t>n</m:t>
            </m:r>
          </m:e>
        </m:d>
        <m:r>
          <m:rPr>
            <m:sty m:val="p"/>
          </m:rPr>
          <m:t>,</m:t>
        </m:r>
        <m:r>
          <m:t>V</m:t>
        </m:r>
        <m:r>
          <m:t>i</m:t>
        </m:r>
        <m:r>
          <m:t>ệ</m:t>
        </m:r>
        <m:r>
          <m:t>t</m:t>
        </m:r>
        <m:r>
          <m:t>N</m:t>
        </m:r>
        <m:r>
          <m:t>a</m:t>
        </m:r>
        <m:r>
          <m:t>m</m:t>
        </m:r>
        <m:d>
          <m:dPr>
            <m:begChr m:val="("/>
            <m:endChr m:val=")"/>
            <m:sepChr m:val=""/>
            <m:grow/>
          </m:dPr>
          <m:e>
            <m:r>
              <m:t>98</m:t>
            </m:r>
            <m:r>
              <m:t>t</m:t>
            </m:r>
            <m:r>
              <m:t>r</m:t>
            </m:r>
            <m:r>
              <m:t>i</m:t>
            </m:r>
            <m:r>
              <m:t>ệ</m:t>
            </m:r>
            <m:r>
              <m:t>u</m:t>
            </m:r>
            <m:r>
              <m:t>d</m:t>
            </m:r>
            <m:r>
              <m:t>â</m:t>
            </m:r>
            <m:r>
              <m:t>n</m:t>
            </m:r>
          </m:e>
        </m:d>
        <m:r>
          <m:rPr>
            <m:sty m:val="p"/>
          </m:rPr>
          <m:t>,</m:t>
        </m:r>
        <m:r>
          <m:t>I</m:t>
        </m:r>
        <m:r>
          <m:t>n</m:t>
        </m:r>
        <m:r>
          <m:t>d</m:t>
        </m:r>
        <m:r>
          <m:t>o</m:t>
        </m:r>
        <m:r>
          <m:t>n</m:t>
        </m:r>
        <m:r>
          <m:t>e</m:t>
        </m:r>
        <m:r>
          <m:t>s</m:t>
        </m:r>
        <m:r>
          <m:t>i</m:t>
        </m:r>
        <m:r>
          <m:t>a</m:t>
        </m:r>
        <m:d>
          <m:dPr>
            <m:begChr m:val="("/>
            <m:endChr m:val=")"/>
            <m:sepChr m:val=""/>
            <m:grow/>
          </m:dPr>
          <m:e>
            <m:r>
              <m:t>273</m:t>
            </m:r>
            <m:r>
              <m:t>t</m:t>
            </m:r>
            <m:r>
              <m:t>r</m:t>
            </m:r>
            <m:r>
              <m:t>i</m:t>
            </m:r>
            <m:r>
              <m:t>ệ</m:t>
            </m:r>
            <m:r>
              <m:t>u</m:t>
            </m:r>
          </m:e>
        </m:d>
        <m:r>
          <m:rPr>
            <m:sty m:val="p"/>
          </m:rPr>
          <m:t>—</m:t>
        </m:r>
        <m:r>
          <m:t>K</m:t>
        </m:r>
        <m:r>
          <m:t>H</m:t>
        </m:r>
        <m:r>
          <m:t>Ô</m:t>
        </m:r>
        <m:r>
          <m:t>N</m:t>
        </m:r>
        <m:r>
          <m:t>G</m:t>
        </m:r>
        <m:r>
          <m:t>t</m:t>
        </m:r>
        <m:r>
          <m:t>h</m:t>
        </m:r>
        <m:r>
          <m:t>ỏ</m:t>
        </m:r>
        <m:r>
          <m:t>a</m:t>
        </m:r>
        <m:r>
          <m:t>ở</m:t>
        </m:r>
        <m:r>
          <m:t>K</m:t>
        </m:r>
        <m:r>
          <m:t>i</m:t>
        </m:r>
        <m:r>
          <m:t>r</m:t>
        </m:r>
        <m:r>
          <m:t>i</m:t>
        </m:r>
        <m:r>
          <m:t>b</m:t>
        </m:r>
        <m:r>
          <m:t>a</m:t>
        </m:r>
        <m:r>
          <m:t>t</m:t>
        </m:r>
        <m:r>
          <m:t>i</m:t>
        </m:r>
        <m:r>
          <m:rPr>
            <m:sty m:val="p"/>
          </m:rPr>
          <m:t>(</m:t>
        </m:r>
        <m:r>
          <m:t>130.000</m:t>
        </m:r>
        <m:r>
          <m:t>d</m:t>
        </m:r>
        <m:r>
          <m:t>â</m:t>
        </m:r>
        <m:r>
          <m:t>n</m:t>
        </m:r>
        <m:r>
          <m:rPr>
            <m:sty m:val="p"/>
          </m:rPr>
          <m:t>,</m:t>
        </m:r>
        <m:r>
          <m:t>G</m:t>
        </m:r>
        <m:r>
          <m:t>D</m:t>
        </m:r>
        <m:r>
          <m:t>P</m:t>
        </m:r>
        <m:r>
          <m:t>p</m:t>
        </m:r>
        <m:r>
          <m:t>e</m:t>
        </m:r>
        <m:r>
          <m:t>r</m:t>
        </m:r>
        <m:r>
          <m:t>c</m:t>
        </m:r>
        <m:r>
          <m:t>a</m:t>
        </m:r>
        <m:r>
          <m:t>p</m:t>
        </m:r>
        <m:r>
          <m:t>i</m:t>
        </m:r>
        <m:r>
          <m:t>t</m:t>
        </m:r>
        <m:r>
          <m:t>a</m:t>
        </m:r>
        <m:r>
          <m:t> </m:t>
        </m:r>
      </m:oMath>
      <w:r>
        <w:t xml:space="preserve">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 NotebookLM (2026,</w:t>
      </w:r>
      <w:r>
        <w:t xml:space="preserve"> </w:t>
      </w:r>
      <w:r>
        <w:rPr>
          <w:iCs/>
          <w:i/>
        </w:rPr>
        <w:t xml:space="preserve">Bẫy đo lường số hóa Châu Á</w:t>
      </w:r>
      <w:r>
        <w:t xml:space="preserve">).</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5"/>
        </w:numPr>
        <w:pStyle w:val="Compact"/>
      </w:pPr>
      <w:r>
        <w:rPr>
          <w:bCs/>
          <w:b/>
        </w:rPr>
        <w:t xml:space="preserve">§3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5"/>
        </w:numPr>
        <w:pStyle w:val="Compact"/>
      </w:pPr>
      <w:r>
        <w:rPr>
          <w:bCs/>
          <w:b/>
        </w:rPr>
        <w:t xml:space="preserve">§5.2 (Singapore archetype)</w:t>
      </w:r>
      <w:r>
        <w:t xml:space="preserve"> </w:t>
      </w:r>
      <w:r>
        <w:t xml:space="preserve">+</w:t>
      </w:r>
      <w:r>
        <w:t xml:space="preserve"> </w:t>
      </w:r>
      <w:r>
        <w:rPr>
          <w:bCs/>
          <w:b/>
        </w:rPr>
        <w:t xml:space="preserve">§5.7 (Pacific SIDS case)</w:t>
      </w:r>
      <w:r>
        <w:t xml:space="preserve"> </w:t>
      </w:r>
      <w:r>
        <w:t xml:space="preserve">trong file 16;</w:t>
      </w:r>
    </w:p>
    <w:p>
      <w:pPr>
        <w:numPr>
          <w:ilvl w:val="0"/>
          <w:numId w:val="1005"/>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35"/>
    <w:bookmarkStart w:id="36" w:name="X5b689c7d2dbcc4ff74ca289d1b9bebaa55c18a2"/>
    <w:p>
      <w:pPr>
        <w:pStyle w:val="Heading3"/>
      </w:pPr>
      <w:r>
        <w:t xml:space="preserve">§2.7 KHUNG 4-TIER CHUYỂN ĐỔI SỐ + MÔ HÌNH NĂNG LỰC SỐ PHỤ THUỘC BỐI CẢNH</w:t>
      </w:r>
    </w:p>
    <w:p>
      <w:pPr>
        <w:pStyle w:val="FirstParagraph"/>
      </w:pPr>
      <w:r>
        <w:t xml:space="preserve">NotebookLM critique 08/05/2026 (đối chiếu hai bản thảo của tác giả: P3 Singapore — Mar et al., 2026,</w:t>
      </w:r>
      <w:r>
        <w:t xml:space="preserve"> </w:t>
      </w:r>
      <w:r>
        <w:rPr>
          <w:iCs/>
          <w:i/>
        </w:rPr>
        <w:t xml:space="preserve">MIR</w:t>
      </w:r>
      <w:r>
        <w:t xml:space="preserve">; P4 Việt Nam — Đỗ &amp; Phan, 2026 —</w:t>
      </w:r>
      <w:r>
        <w:t xml:space="preserve"> </w:t>
      </w:r>
      <w:r>
        <w:rPr>
          <w:iCs/>
          <w:i/>
        </w:rPr>
        <w:t xml:space="preserve">APJM</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 trước khi báo cáo descriptive results —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Áp dụng số và Năng lực phụ thuộc bối cảnh (Context-Contingent Digital-and-Capability Model — CDCM)</w:t>
      </w:r>
      <w:r>
        <w:t xml:space="preserve"> </w:t>
      </w:r>
      <w:r>
        <w:t xml:space="preserve">— đóng góp lý thuyết MỚI hợp nhất hai papers:</w:t>
      </w:r>
    </w:p>
    <w:p>
      <w:pPr>
        <w:pStyle w:val="BodyText"/>
      </w:pPr>
      <w:r>
        <w:t xml:space="preserve">CDCM hợp nhất phát hiện Singapore P3 (Mar et al., 2026) + Việt Nam P4 (Đỗ &amp; Phan, 2026 —</w:t>
      </w:r>
      <w:r>
        <w:t xml:space="preserve"> </w:t>
      </w:r>
      <w:r>
        <w:rPr>
          <w:iCs/>
          <w:i/>
        </w:rPr>
        <w:t xml:space="preserve">APJM</w:t>
      </w:r>
      <w:r>
        <w:t xml:space="preserve">) thành một khung xuyên quốc gia 3 chiều:</w:t>
      </w:r>
    </w:p>
    <w:p>
      <w:pPr>
        <w:pStyle w:val="BodyText"/>
      </w:pPr>
      <w:r>
        <w:rPr>
          <w:bCs/>
          <w:b/>
        </w:rPr>
        <w:t xml:space="preserve">(a) Hình dáng đường cong I-P (Internationalization-Performance)</w:t>
      </w:r>
      <w:r>
        <w:t xml:space="preserve">: Việt Nam → Inverted-U rõ nét, điểm ngưỡng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 —</w:t>
      </w:r>
      <w:r>
        <w:t xml:space="preserve"> </w:t>
      </w:r>
      <w:r>
        <w:rPr>
          <w:iCs/>
          <w:i/>
        </w:rPr>
        <w:t xml:space="preserve">scarce advantage</w:t>
      </w:r>
      <w:r>
        <w:t xml:space="preserve"> </w:t>
      </w:r>
      <w:r>
        <w:t xml:space="preserve">giúp doanh nghiệp vượt rào cản quốc tế hóa (TCIz IV β=1,639, p&lt;,001 robust 2SLS — Đỗ &amp; Phan, 2026 —</w:t>
      </w:r>
      <w:r>
        <w:t xml:space="preserve"> </w:t>
      </w:r>
      <w:r>
        <w:rPr>
          <w:iCs/>
          <w:i/>
        </w:rPr>
        <w:t xml:space="preserve">APJM</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6"/>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p>
    <w:p>
      <w:pPr>
        <w:numPr>
          <w:ilvl w:val="0"/>
          <w:numId w:val="1006"/>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P3;</w:t>
      </w:r>
    </w:p>
    <w:p>
      <w:pPr>
        <w:numPr>
          <w:ilvl w:val="0"/>
          <w:numId w:val="1006"/>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6"/>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quốc tế hóa.</w:t>
      </w:r>
    </w:p>
    <w:p>
      <w:pPr>
        <w:pStyle w:val="FirstParagraph"/>
      </w:pPr>
      <w:r>
        <w:rPr>
          <w:bCs/>
          <w:b/>
        </w:rPr>
        <w:t xml:space="preserve">Tham chiếu</w:t>
      </w:r>
      <w:r>
        <w:t xml:space="preserve">: Verhoef et al. (2021); Bharadwaj et al. (2013); Brynjolfsson &amp; McAfee (2014); Mar et al. (2026 — P3 Singapore manuscript,</w:t>
      </w:r>
      <w:r>
        <w:t xml:space="preserve"> </w:t>
      </w:r>
      <w:r>
        <w:rPr>
          <w:iCs/>
          <w:i/>
        </w:rPr>
        <w:t xml:space="preserve">MIR</w:t>
      </w:r>
      <w:r>
        <w:t xml:space="preserve"> </w:t>
      </w:r>
      <w:r>
        <w:t xml:space="preserve">under review); Đỗ &amp; Phan (2026 — P4 Việt Nam —</w:t>
      </w:r>
      <w:r>
        <w:t xml:space="preserve"> </w:t>
      </w:r>
      <w:r>
        <w:rPr>
          <w:iCs/>
          <w:i/>
        </w:rPr>
        <w:t xml:space="preserve">APJM</w:t>
      </w:r>
      <w:r>
        <w:t xml:space="preserve">); NotebookLM (08/05/2026,</w:t>
      </w:r>
      <w:r>
        <w:t xml:space="preserve"> </w:t>
      </w:r>
      <w:r>
        <w:rPr>
          <w:iCs/>
          <w:i/>
        </w:rPr>
        <w:t xml:space="preserve">Digital Scaling and Performance in Singapore's Global Firms</w:t>
      </w:r>
      <w:r>
        <w:t xml:space="preserve">); Coase (1937); Williamson (1985); Banalieva &amp; Dhanaraj (2019).</w:t>
      </w:r>
    </w:p>
    <w:p>
      <w:r>
        <w:pict>
          <v:rect style="width:0;height:1.5pt" o:hralign="center" o:hrstd="t" o:hr="t"/>
        </w:pict>
      </w:r>
    </w:p>
    <w:bookmarkEnd w:id="36"/>
    <w:bookmarkEnd w:id="37"/>
    <w:bookmarkStart w:id="38" w:name="X88846fb419345082f0ac77ff5bd76369640769c"/>
    <w:p>
      <w:pPr>
        <w:pStyle w:val="Heading2"/>
      </w:pPr>
      <w:r>
        <w:t xml:space="preserve">CHƯƠNG 3 — KHUNG PHÂN LOẠI 6 PHÂN NHÓM CON ICRV</w:t>
      </w:r>
    </w:p>
    <w:p>
      <w:pPr>
        <w:pStyle w:val="FirstParagraph"/>
      </w:pPr>
      <w:r>
        <w:t xml:space="preserve">(Giữ nguyên từ v3.1b — xem commit</w:t>
      </w:r>
      <w:r>
        <w:t xml:space="preserve"> </w:t>
      </w:r>
      <w:r>
        <w:rPr>
          <w:rStyle w:val="VerbatimChar"/>
        </w:rPr>
        <w:t xml:space="preserve">cd4276a</w:t>
      </w:r>
      <w:r>
        <w:t xml:space="preserve"> </w:t>
      </w:r>
      <w:r>
        <w:t xml:space="preserve">cho §3.1-§3.5 đầy đủ với Bảng 3.1, 3.2 và logic phân nhóm con. Note v3.3: SIDS Pacific row giữ nguyên với clarification trong §1.3 rằng đây là boundary extension.)</w:t>
      </w:r>
    </w:p>
    <w:p>
      <w:r>
        <w:pict>
          <v:rect style="width:0;height:1.5pt" o:hralign="center" o:hrstd="t" o:hr="t"/>
        </w:pict>
      </w:r>
    </w:p>
    <w:bookmarkEnd w:id="38"/>
    <w:bookmarkStart w:id="39" w:name="X95aae0d8593ff0d47f5fd36881a6c39072d65dc"/>
    <w:p>
      <w:pPr>
        <w:pStyle w:val="Heading2"/>
      </w:pPr>
      <w:r>
        <w:t xml:space="preserve">PHỤ LỤC H — BẢNG THUẬT NGỮ ANH-VIỆT (RÚT GỌN)</w:t>
      </w:r>
    </w:p>
    <w:p>
      <w:pPr>
        <w:pStyle w:val="FirstParagraph"/>
      </w:pPr>
      <w:r>
        <w:t xml:space="preserve">(Giữ nguyên từ v3.0 — xem commit</w:t>
      </w:r>
      <w:r>
        <w:t xml:space="preserve"> </w:t>
      </w:r>
      <w:r>
        <w:rPr>
          <w:rStyle w:val="VerbatimChar"/>
        </w:rPr>
        <w:t xml:space="preserve">e855de9</w:t>
      </w:r>
      <w:r>
        <w:t xml:space="preserve"> </w:t>
      </w:r>
      <w:r>
        <w:t xml:space="preserve">cho 6 nhóm thuật ngữ + Hán-Việt mapping.)</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39"/>
    <w:bookmarkEnd w:id="4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2026-05-25T00:54:49Z</dcterms:created>
  <dcterms:modified xsi:type="dcterms:W3CDTF">2026-05-25T00:54:49Z</dcterms:modified>
</cp:coreProperties>
</file>

<file path=docProps/custom.xml><?xml version="1.0" encoding="utf-8"?>
<Properties xmlns="http://schemas.openxmlformats.org/officeDocument/2006/custom-properties" xmlns:vt="http://schemas.openxmlformats.org/officeDocument/2006/docPropsVTypes"/>
</file>