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pool phân tích đã xác minh K=288 / k=238 — hand-coded baseline)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47–49 nền kinh tế châu Á và Thái Bình Dương (bao gồm 6–8 nền kinh tế Pacific SIDS) trong phạm vi đề tài chính thức.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w:t>
      </w:r>
      <w:r>
        <w:t xml:space="preserve">: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mở rộng thêm bằng phân tích chuyên sâu các nền kinh tế Nhóm VI (SIDS) để kiểm định forced internationalization penalty (Đỗ &amp; Phan, 2026). Nhật Bản hiện chưa có dữ liệu WBES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Vietnam</w:t>
            </w:r>
          </w:p>
        </w:tc>
        <w:tc>
          <w:tcPr/>
          <w:p>
            <w:pPr>
              <w:pStyle w:val="Compact"/>
              <w:jc w:val="left"/>
            </w:pPr>
            <w:r>
              <w:t xml:space="preserve">Bằng chứng country-level transitional economy với TCI + DAI — JABS under review (Ch.4.2)</w:t>
            </w:r>
          </w:p>
        </w:tc>
        <w:tc>
          <w:tcPr/>
          <w:p>
            <w:pPr>
              <w:pStyle w:val="Compact"/>
              <w:jc w:val="left"/>
            </w:pPr>
            <w:r>
              <w:t xml:space="preserve">Bản thảo đã viết</w:t>
            </w:r>
          </w:p>
        </w:tc>
      </w:tr>
      <w:tr>
        <w:tc>
          <w:tcPr/>
          <w:p>
            <w:pPr>
              <w:pStyle w:val="Compact"/>
              <w:jc w:val="left"/>
            </w:pPr>
            <w:r>
              <w:t xml:space="preserve">P4 Singapore</w:t>
            </w:r>
          </w:p>
        </w:tc>
        <w:tc>
          <w:tcPr/>
          <w:p>
            <w:pPr>
              <w:pStyle w:val="Compact"/>
              <w:jc w:val="left"/>
            </w:pPr>
            <w:r>
              <w:t xml:space="preserve">Bằng chứng country-level ASEAN benchmark với TCI + DAI — MIR under review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 — IJOEM under review</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Bản thảo đã viết (IBR under review)</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Bản thảo đã viết (JIBS under revision)</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đã viết (World Development under revision)</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2026-05-25T00:54:50Z</dcterms:created>
  <dcterms:modified xsi:type="dcterms:W3CDTF">2026-05-25T00:54:50Z</dcterms:modified>
</cp:coreProperties>
</file>

<file path=docProps/custom.xml><?xml version="1.0" encoding="utf-8"?>
<Properties xmlns="http://schemas.openxmlformats.org/officeDocument/2006/custom-properties" xmlns:vt="http://schemas.openxmlformats.org/officeDocument/2006/docPropsVTypes"/>
</file>