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5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4"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4"/>
    <w:bookmarkStart w:id="29" w:name="Xe3d0fc0bea9a42ce7605565d0964033d7f6ee47"/>
    <w:p>
      <w:pPr>
        <w:pStyle w:val="Heading2"/>
      </w:pPr>
      <w:r>
        <w:t xml:space="preserve">1 Introduction</w:t>
      </w:r>
    </w:p>
    <w:bookmarkStart w:id="25"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appear to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sampled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5"/>
    <w:bookmarkStart w:id="26"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6"/>
    <w:bookmarkStart w:id="27"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7"/>
    <w:bookmarkStart w:id="28"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8"/>
    <w:bookmarkEnd w:id="29"/>
    <w:bookmarkStart w:id="41" w:name="X8bf20a63f0decf7b16e99d564b9958ec4fbbb23"/>
    <w:p>
      <w:pPr>
        <w:pStyle w:val="Heading2"/>
      </w:pPr>
      <w:r>
        <w:t xml:space="preserve">2 Theory and Hypotheses</w:t>
      </w:r>
    </w:p>
    <w:bookmarkStart w:id="30"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30"/>
    <w:bookmarkStart w:id="31"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31"/>
    <w:bookmarkStart w:id="36" w:name="Xfeb3205642325e47f2817bab2cc060c9f999b02"/>
    <w:p>
      <w:pPr>
        <w:pStyle w:val="Heading3"/>
      </w:pPr>
      <w:r>
        <w:t xml:space="preserve">2.3 Hypothesis development</w:t>
      </w:r>
    </w:p>
    <w:bookmarkStart w:id="32"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32"/>
    <w:bookmarkStart w:id="33"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33"/>
    <w:bookmarkStart w:id="34"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4"/>
    <w:bookmarkStart w:id="35"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Verhoef et al., 2021), with the amplification effect becoming detectable only beyond the export-intensity threshold at which transaction volume justifies intensive use of digital interfaces and electronic-payment systems.</w:t>
      </w:r>
    </w:p>
    <w:bookmarkEnd w:id="35"/>
    <w:bookmarkEnd w:id="36"/>
    <w:bookmarkStart w:id="40"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978568"/>
            <wp:effectExtent b="0" l="0" r="0" t="0"/>
            <wp:docPr descr="Figure 1: Conceptual model — TCI and DAI moderating the I–P relationship (Singapore)" title="" id="38" name="Picture"/>
            <a:graphic>
              <a:graphicData uri="http://schemas.openxmlformats.org/drawingml/2006/picture">
                <pic:pic>
                  <pic:nvPicPr>
                    <pic:cNvPr descr="figures/p4_singapore/figure_1_conceptual_model.png" id="39" name="Picture"/>
                    <pic:cNvPicPr>
                      <a:picLocks noChangeArrowheads="1" noChangeAspect="1"/>
                    </pic:cNvPicPr>
                  </pic:nvPicPr>
                  <pic:blipFill>
                    <a:blip r:embed="rId37"/>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~82%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40"/>
    <w:bookmarkEnd w:id="41"/>
    <w:bookmarkStart w:id="51" w:name="X167a2da0345881bf36eef0606d50b1063a572d3"/>
    <w:p>
      <w:pPr>
        <w:pStyle w:val="Heading2"/>
      </w:pPr>
      <w:r>
        <w:t xml:space="preserve">3 Methods</w:t>
      </w:r>
    </w:p>
    <w:bookmarkStart w:id="42"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42"/>
    <w:bookmarkStart w:id="47" w:name="Xbcf9f12e79107fa2c089aaf13fc6c4fb773f1c2"/>
    <w:p>
      <w:pPr>
        <w:pStyle w:val="Heading3"/>
      </w:pPr>
      <w:r>
        <w:t xml:space="preserve">3.2 Variables</w:t>
      </w:r>
    </w:p>
    <w:bookmarkStart w:id="43"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43"/>
    <w:bookmarkStart w:id="44"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4"/>
    <w:bookmarkStart w:id="45"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45"/>
    <w:bookmarkStart w:id="46"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6"/>
    <w:bookmarkEnd w:id="47"/>
    <w:bookmarkStart w:id="48" w:name="X985ae65e21378cfd2c07e16fb9a8b07680cdc81"/>
    <w:p>
      <w:pPr>
        <w:pStyle w:val="Heading3"/>
      </w:pPr>
      <w:r>
        <w:t xml:space="preserve">3.2.5 Variable definitions</w:t>
      </w:r>
    </w:p>
    <w:p>
      <w:pPr>
        <w:pStyle w:val="FirstParagraph"/>
      </w:pPr>
      <w:r>
        <w:rPr>
          <w:bCs/>
          <w:b/>
        </w:rPr>
        <w:t xml:space="preserve">Table 0. Variable definitions and WBES item sources (Singapore 2023).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Theoretical role</w:t>
            </w:r>
          </w:p>
        </w:tc>
      </w:tr>
      <w:tr>
        <w:tc>
          <w:tcPr/>
          <w:p>
            <w:pPr>
              <w:pStyle w:val="Compact"/>
              <w:jc w:val="left"/>
            </w:pPr>
            <w:r>
              <w:t xml:space="preserve">ln(LP)</w:t>
            </w:r>
          </w:p>
        </w:tc>
        <w:tc>
          <w:tcPr/>
          <w:p>
            <w:pPr>
              <w:pStyle w:val="Compact"/>
              <w:jc w:val="left"/>
            </w:pPr>
            <w:r>
              <w:t xml:space="preserve">n3/d2, l1</w:t>
            </w:r>
          </w:p>
        </w:tc>
        <w:tc>
          <w:tcPr/>
          <w:p>
            <w:pPr>
              <w:pStyle w:val="Compact"/>
              <w:jc w:val="left"/>
            </w:pPr>
            <w:r>
              <w:t xml:space="preserve">ln(annual sales / permanent employees); winsorized 1%–99%</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sales from direct exports ∈ [0,1]</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wave-mean-centred</w:t>
            </w:r>
          </w:p>
        </w:tc>
        <w:tc>
          <w:tcPr/>
          <w:p>
            <w:pPr>
              <w:pStyle w:val="Compact"/>
              <w:jc w:val="left"/>
            </w:pPr>
            <w:r>
              <w:t xml:space="preserve">I — centred for quadratic</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w:t>
            </w:r>
          </w:p>
        </w:tc>
        <w:tc>
          <w:tcPr/>
          <w:p>
            <w:pPr>
              <w:pStyle w:val="Compact"/>
              <w:jc w:val="left"/>
            </w:pPr>
            <w:r>
              <w:t xml:space="preserve">I — nonlinear (H1 test)</w:t>
            </w:r>
          </w:p>
        </w:tc>
      </w:tr>
      <w:tr>
        <w:tc>
          <w:tcPr/>
          <w:p>
            <w:pPr>
              <w:pStyle w:val="Compact"/>
              <w:jc w:val="left"/>
            </w:pPr>
            <w:r>
              <w:t xml:space="preserve">TCI_z</w:t>
            </w:r>
          </w:p>
        </w:tc>
        <w:tc>
          <w:tcPr/>
          <w:p>
            <w:pPr>
              <w:pStyle w:val="Compact"/>
              <w:jc w:val="left"/>
            </w:pPr>
            <w:r>
              <w:t xml:space="preserve">h8, h1, b8, e6</w:t>
            </w:r>
          </w:p>
        </w:tc>
        <w:tc>
          <w:tcPr/>
          <w:p>
            <w:pPr>
              <w:pStyle w:val="Compact"/>
              <w:jc w:val="left"/>
            </w:pPr>
            <w:r>
              <w:t xml:space="preserve">z-std(mean(R&amp;D activity, product innovation, quality certification, foreign-licensed technology))</w:t>
            </w:r>
          </w:p>
        </w:tc>
        <w:tc>
          <w:tcPr/>
          <w:p>
            <w:pPr>
              <w:pStyle w:val="Compact"/>
              <w:jc w:val="left"/>
            </w:pPr>
            <w:r>
              <w:t xml:space="preserve">Technological capability (H1-TCI)</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z-std(mean(website presence, customer e-payment share, supplier e-payment share)): Tier 1+2</w:t>
            </w:r>
          </w:p>
        </w:tc>
        <w:tc>
          <w:tcPr/>
          <w:p>
            <w:pPr>
              <w:pStyle w:val="Compact"/>
              <w:jc w:val="left"/>
            </w:pPr>
            <w:r>
              <w:t xml:space="preserve">Digital adoption (H2, H3)</w:t>
            </w:r>
          </w:p>
        </w:tc>
      </w:tr>
      <w:tr>
        <w:tc>
          <w:tcPr/>
          <w:p>
            <w:pPr>
              <w:pStyle w:val="Compact"/>
              <w:jc w:val="left"/>
            </w:pPr>
            <w:r>
              <w:t xml:space="preserve">FSTS_c × DAI_z</w:t>
            </w:r>
          </w:p>
        </w:tc>
        <w:tc>
          <w:tcPr/>
          <w:p>
            <w:pPr>
              <w:pStyle w:val="Compact"/>
              <w:jc w:val="left"/>
            </w:pPr>
            <w:r>
              <w:t xml:space="preserve">—</w:t>
            </w:r>
          </w:p>
        </w:tc>
        <w:tc>
          <w:tcPr/>
          <w:p>
            <w:pPr>
              <w:pStyle w:val="Compact"/>
              <w:jc w:val="left"/>
            </w:pPr>
            <w:r>
              <w:t xml:space="preserve">Interaction: linear FSTS × DAI</w:t>
            </w:r>
          </w:p>
        </w:tc>
        <w:tc>
          <w:tcPr/>
          <w:p>
            <w:pPr>
              <w:pStyle w:val="Compact"/>
              <w:jc w:val="left"/>
            </w:pPr>
            <w:r>
              <w:t xml:space="preserve">H3 test (linear component)</w:t>
            </w:r>
          </w:p>
        </w:tc>
      </w:tr>
      <w:tr>
        <w:tc>
          <w:tcPr/>
          <w:p>
            <w:pPr>
              <w:pStyle w:val="Compact"/>
              <w:jc w:val="left"/>
            </w:pPr>
            <w:r>
              <w:t xml:space="preserve">FSTS_c² × DAI_z</w:t>
            </w:r>
          </w:p>
        </w:tc>
        <w:tc>
          <w:tcPr/>
          <w:p>
            <w:pPr>
              <w:pStyle w:val="Compact"/>
              <w:jc w:val="left"/>
            </w:pPr>
            <w:r>
              <w:t xml:space="preserve">—</w:t>
            </w:r>
          </w:p>
        </w:tc>
        <w:tc>
          <w:tcPr/>
          <w:p>
            <w:pPr>
              <w:pStyle w:val="Compact"/>
              <w:jc w:val="left"/>
            </w:pPr>
            <w:r>
              <w:t xml:space="preserve">Interaction: quadratic FSTS × DAI</w:t>
            </w:r>
          </w:p>
        </w:tc>
        <w:tc>
          <w:tcPr/>
          <w:p>
            <w:pPr>
              <w:pStyle w:val="Compact"/>
              <w:jc w:val="left"/>
            </w:pPr>
            <w:r>
              <w:t xml:space="preserve">H3 test — amplification (primary)</w:t>
            </w:r>
          </w:p>
        </w:tc>
      </w:tr>
      <w:tr>
        <w:tc>
          <w:tcPr/>
          <w:p>
            <w:pPr>
              <w:pStyle w:val="Compact"/>
              <w:jc w:val="left"/>
            </w:pPr>
            <w:r>
              <w:t xml:space="preserve">ln(Employees)</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 year − establishment year</w:t>
            </w:r>
          </w:p>
        </w:tc>
        <w:tc>
          <w:tcPr/>
          <w:p>
            <w:pPr>
              <w:pStyle w:val="Compact"/>
              <w:jc w:val="left"/>
            </w:pPr>
            <w:r>
              <w:t xml:space="preserve">Age control</w:t>
            </w:r>
          </w:p>
        </w:tc>
      </w:tr>
      <w:tr>
        <w:tc>
          <w:tcPr/>
          <w:p>
            <w:pPr>
              <w:pStyle w:val="Compact"/>
              <w:jc w:val="left"/>
            </w:pPr>
            <w:r>
              <w:t xml:space="preserve">ForeignOwn</w:t>
            </w:r>
          </w:p>
        </w:tc>
        <w:tc>
          <w:tcPr/>
          <w:p>
            <w:pPr>
              <w:pStyle w:val="Compact"/>
              <w:jc w:val="left"/>
            </w:pPr>
            <w:r>
              <w:t xml:space="preserve">b6a</w:t>
            </w:r>
          </w:p>
        </w:tc>
        <w:tc>
          <w:tcPr/>
          <w:p>
            <w:pPr>
              <w:pStyle w:val="Compact"/>
              <w:jc w:val="left"/>
            </w:pPr>
            <w:r>
              <w:t xml:space="preserve">1 if foreign equity ≥ 10%</w:t>
            </w:r>
          </w:p>
        </w:tc>
        <w:tc>
          <w:tcPr/>
          <w:p>
            <w:pPr>
              <w:pStyle w:val="Compact"/>
              <w:jc w:val="left"/>
            </w:pPr>
            <w:r>
              <w:t xml:space="preserve">Ownership control</w:t>
            </w:r>
          </w:p>
        </w:tc>
      </w:tr>
      <w:tr>
        <w:tc>
          <w:tcPr/>
          <w:p>
            <w:pPr>
              <w:pStyle w:val="Compact"/>
              <w:jc w:val="left"/>
            </w:pPr>
            <w:r>
              <w:t xml:space="preserve">Sector FE</w:t>
            </w:r>
          </w:p>
        </w:tc>
        <w:tc>
          <w:tcPr/>
          <w:p>
            <w:pPr>
              <w:pStyle w:val="Compact"/>
              <w:jc w:val="left"/>
            </w:pPr>
            <w:r>
              <w:t xml:space="preserve">a4b/a4a</w:t>
            </w:r>
          </w:p>
        </w:tc>
        <w:tc>
          <w:tcPr/>
          <w:p>
            <w:pPr>
              <w:pStyle w:val="Compact"/>
              <w:jc w:val="left"/>
            </w:pPr>
            <w:r>
              <w:t xml:space="preserve">Manufacturing / Retail / Other services (ISIC 1-digit)</w:t>
            </w:r>
          </w:p>
        </w:tc>
        <w:tc>
          <w:tcPr/>
          <w:p>
            <w:pPr>
              <w:pStyle w:val="Compact"/>
              <w:jc w:val="left"/>
            </w:pPr>
            <w:r>
              <w:t xml:space="preserve">Sector fixed effects</w:t>
            </w:r>
          </w:p>
        </w:tc>
      </w:tr>
    </w:tbl>
    <w:bookmarkEnd w:id="48"/>
    <w:bookmarkStart w:id="49"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as a hierarchical stack (M0–M8) in Table 2, beginning with a controls-only specification and progressing to moderation models.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w:t>
      </w:r>
    </w:p>
    <w:p>
      <w:pPr>
        <w:pStyle w:val="BodyText"/>
      </w:pPr>
      <w:r>
        <w:t xml:space="preserve">The estimation sequence is:</w:t>
      </w:r>
    </w:p>
    <w:p>
      <w:pPr>
        <w:pStyle w:val="BodyText"/>
      </w:pPr>
      <w:r>
        <w:rPr>
          <w:bCs/>
          <w:b/>
        </w:rPr>
        <w:t xml:space="preserve">M0 (Controls only — baseline):</w:t>
      </w:r>
      <w:r>
        <w:t xml:space="preserve"> </w:t>
      </w:r>
      <w:r>
        <w:t xml:space="preserve">ln(LP)ᵢ = α + γ₁ ln(Emp)ᵢ + γ₂ FirmAgeᵢ + γ₃ ForeignOwnᵢ + δ_s + εᵢ</w:t>
      </w:r>
    </w:p>
    <w:p>
      <w:pPr>
        <w:pStyle w:val="BodyText"/>
      </w:pPr>
      <w:r>
        <w:rPr>
          <w:bCs/>
          <w:b/>
        </w:rPr>
        <w:t xml:space="preserve">M1 (Linear FSTS):</w:t>
      </w:r>
      <w:r>
        <w:t xml:space="preserve"> </w:t>
      </w:r>
      <w:r>
        <w:t xml:space="preserve">ln(LP)ᵢ = α + β₁ FSTS_cᵢ + γ·Xᵢ + δ_s + εᵢ</w:t>
      </w:r>
    </w:p>
    <w:p>
      <w:pPr>
        <w:pStyle w:val="BodyText"/>
      </w:pPr>
      <w:r>
        <w:rPr>
          <w:bCs/>
          <w:b/>
        </w:rPr>
        <w:t xml:space="preserve">M2 (Quadratic FSTS — H1 baseline curvature test):</w:t>
      </w:r>
      <w:r>
        <w:t xml:space="preserve"> </w:t>
      </w:r>
      <w:r>
        <w:t xml:space="preserve">ln(LP)ᵢ = α + β₁ FSTS_cᵢ + β₂ FSTS_c²ᵢ + γ·Xᵢ + δ_s + εᵢ</w:t>
      </w:r>
      <w:r>
        <w:t xml:space="preserve"> </w:t>
      </w:r>
      <w:r>
        <w:t xml:space="preserve">Turning point: TP* = −β₁ / (2β₂) + mean(FSTS) [H1: expected TP support-constrained; LM test p = .303]</w:t>
      </w:r>
    </w:p>
    <w:p>
      <w:pPr>
        <w:pStyle w:val="BodyText"/>
      </w:pPr>
      <w:r>
        <w:rPr>
          <w:bCs/>
          <w:b/>
        </w:rPr>
        <w:t xml:space="preserve">M3 (TCI direct — H1-TCI level effect):</w:t>
      </w:r>
      <w:r>
        <w:t xml:space="preserve"> </w:t>
      </w:r>
      <w:r>
        <w:t xml:space="preserve">ln(LP)ᵢ = α + β₁ FSTS_cᵢ + β₂ FSTS_c²ᵢ + β₃ TCI_zᵢ + γ·Xᵢ + δ_s + εᵢ</w:t>
      </w:r>
    </w:p>
    <w:p>
      <w:pPr>
        <w:pStyle w:val="BodyText"/>
      </w:pPr>
      <w:r>
        <w:rPr>
          <w:bCs/>
          <w:b/>
        </w:rPr>
        <w:t xml:space="preserve">M4 (TCI moderation — supplementary):</w:t>
      </w:r>
      <w:r>
        <w:t xml:space="preserve"> </w:t>
      </w:r>
      <w:r>
        <w:t xml:space="preserve">ln(LP)ᵢ = α + β₁ FSTS_cᵢ + β₂ FSTS_c²ᵢ + β₃ TCI_zᵢ + β₄(FSTS_cᵢ × TCI_zᵢ) + β₅(FSTS_c²ᵢ × TCI_zᵢ) + γ·Xᵢ + δ_s + εᵢ</w:t>
      </w:r>
    </w:p>
    <w:p>
      <w:pPr>
        <w:pStyle w:val="BodyText"/>
      </w:pPr>
      <w:r>
        <w:rPr>
          <w:bCs/>
          <w:b/>
        </w:rPr>
        <w:t xml:space="preserve">M5 (DAI direct — H2 test):</w:t>
      </w:r>
      <w:r>
        <w:t xml:space="preserve"> </w:t>
      </w:r>
      <w:r>
        <w:t xml:space="preserve">ln(LP)ᵢ = α + β₁ FSTS_cᵢ + β₂ FSTS_c²ᵢ + β₃ DAI_zᵢ + γ·Xᵢ + δ_s + εᵢ</w:t>
      </w:r>
    </w:p>
    <w:p>
      <w:pPr>
        <w:pStyle w:val="BodyText"/>
      </w:pPr>
      <w:r>
        <w:rPr>
          <w:bCs/>
          <w:b/>
        </w:rPr>
        <w:t xml:space="preserve">M6 (Dual direct effects):</w:t>
      </w:r>
      <w:r>
        <w:t xml:space="preserve"> </w:t>
      </w:r>
      <w:r>
        <w:t xml:space="preserve">ln(LP)ᵢ = α + β₁ FSTS_cᵢ + β₂ FSTS_c²ᵢ + β₃ TCI_zᵢ + β₄ DAI_zᵢ + γ·Xᵢ + δ_s + εᵢ</w:t>
      </w:r>
    </w:p>
    <w:p>
      <w:pPr>
        <w:pStyle w:val="BodyText"/>
      </w:pPr>
      <w:r>
        <w:rPr>
          <w:bCs/>
          <w:b/>
        </w:rPr>
        <w:t xml:space="preserve">M7 (DAI linear interaction):</w:t>
      </w:r>
      <w:r>
        <w:t xml:space="preserve"> </w:t>
      </w:r>
      <w:r>
        <w:t xml:space="preserve">ln(LP)ᵢ = α + β₁ FSTS_cᵢ + β₂ FSTS_c²ᵢ + β₃ TCI_zᵢ + β₄ DAI_zᵢ + β₅(FSTS_cᵢ × DAI_zᵢ) + γ·Xᵢ + δ_s + εᵢ</w:t>
      </w:r>
    </w:p>
    <w:p>
      <w:pPr>
        <w:pStyle w:val="BodyText"/>
      </w:pPr>
      <w:r>
        <w:rPr>
          <w:bCs/>
          <w:b/>
        </w:rPr>
        <w:t xml:space="preserve">M8 (Full moderation model — H3 primary test):</w:t>
      </w:r>
      <w:r>
        <w:t xml:space="preserve"> </w:t>
      </w:r>
      <w:r>
        <w:t xml:space="preserve">ln(LP)ᵢ = α + β₁ FSTS_cᵢ + β₂ FSTS_c²ᵢ + β₃ TCI_zᵢ + β₄ DAI_zᵢ + β₅(FSTS_cᵢ × DAI_zᵢ) + β₆(FSTS_c²ᵢ × DAI_zᵢ) + γ·Xᵢ + δ_s + εᵢ</w:t>
      </w:r>
      <w:r>
        <w:t xml:space="preserve"> </w:t>
      </w:r>
      <w:r>
        <w:t xml:space="preserve">[H3: β₆ &gt; 0 (p &lt; .01) — amplification; confirmed: β₆ = +3.119, p = .005]</w:t>
      </w:r>
    </w:p>
    <w:p>
      <w:pPr>
        <w:pStyle w:val="BodyText"/>
      </w:pPr>
      <w:r>
        <w:t xml:space="preserve">where Xᵢ = {ln(Emp), FirmAge, ForeignOwn} and δ_s = broad sector fixed effects. HC1 heteroskedasticity-robust standard errors throughout (MacKinnon &amp; White, 1985). A supplementary Heckman inverse-Mills-ratio specification adds IMR from a first-stage probit of export participation (see §3.4(iv)).</w:t>
      </w:r>
    </w:p>
    <w:p>
      <w:pPr>
        <w:pStyle w:val="BodyText"/>
      </w:pPr>
      <w:r>
        <w:t xml:space="preserve">The full model includes centred FSTS, squared centred FSTS, TCI, DAI, the interaction between FSTS and DAI, and the quadratic interaction between FSTS²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9"/>
    <w:bookmarkStart w:id="50"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82%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50"/>
    <w:bookmarkEnd w:id="51"/>
    <w:bookmarkStart w:id="63" w:name="X121719332867ee227f0a04b486098cee978c6e6"/>
    <w:p>
      <w:pPr>
        <w:pStyle w:val="Heading2"/>
      </w:pPr>
      <w:r>
        <w:t xml:space="preserve">4 Results</w:t>
      </w:r>
    </w:p>
    <w:bookmarkStart w:id="52"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52"/>
    <w:bookmarkStart w:id="53"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53"/>
    <w:bookmarkStart w:id="54" w:name="Xbd081e7d38ad07e1e46d233e5fbc3c3c47a4f64"/>
    <w:p>
      <w:pPr>
        <w:pStyle w:val="Heading3"/>
      </w:pPr>
      <w:r>
        <w:t xml:space="preserve">4.3 TCI results</w:t>
      </w:r>
    </w:p>
    <w:p>
      <w:pPr>
        <w:pStyle w:val="FirstParagraph"/>
      </w:pPr>
      <w:r>
        <w:t xml:space="preserve">The direct-effect model for technological capability (Model M5) indicates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54"/>
    <w:bookmarkStart w:id="61"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56" name="Picture"/>
            <a:graphic>
              <a:graphicData uri="http://schemas.openxmlformats.org/drawingml/2006/picture">
                <pic:pic>
                  <pic:nvPicPr>
                    <pic:cNvPr descr="figures/p4_singapore/figure_2_dai_marginal_effect.png" id="57" name="Picture"/>
                    <pic:cNvPicPr>
                      <a:picLocks noChangeArrowheads="1" noChangeAspect="1"/>
                    </pic:cNvPicPr>
                  </pic:nvPicPr>
                  <pic:blipFill>
                    <a:blip r:embed="rId55"/>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59" name="Picture"/>
            <a:graphic>
              <a:graphicData uri="http://schemas.openxmlformats.org/drawingml/2006/picture">
                <pic:pic>
                  <pic:nvPicPr>
                    <pic:cNvPr descr="figures/p4_singapore/figure_3_predicted_ip_curve.png" id="60" name="Picture"/>
                    <pic:cNvPicPr>
                      <a:picLocks noChangeArrowheads="1" noChangeAspect="1"/>
                    </pic:cNvPicPr>
                  </pic:nvPicPr>
                  <pic:blipFill>
                    <a:blip r:embed="rId58"/>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(−β₁/2β₂ on mean-centered FSTS ≈ 77.8%; adding back the sample mean of 0.045 gives ≈ 82%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61"/>
    <w:bookmarkStart w:id="62" w:name="Xc8e997e14555d7ba8da5c1d596c5311617447cd"/>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is consistent with robustness of the H3 amplification mechanism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62"/>
    <w:bookmarkEnd w:id="63"/>
    <w:bookmarkStart w:id="66" w:name="X735612638e4e736e4693e459c258977262c0dfc"/>
    <w:p>
      <w:pPr>
        <w:pStyle w:val="Heading2"/>
      </w:pPr>
      <w:r>
        <w:t xml:space="preserve">5 Discussion</w:t>
      </w:r>
    </w:p>
    <w:bookmarkStart w:id="64"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shows: when DAI is reduced to the website-only Tier-1 binary, the quadratic interaction weakens substantially (β drops from +3.119 to +1.552, joint F retained marginal at 4.01, p = .019), and the item-swap falsification test indicates that the moderation weakens substantially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broadly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64"/>
    <w:bookmarkStart w:id="65"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65"/>
    <w:bookmarkEnd w:id="66"/>
    <w:bookmarkStart w:id="67"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7"/>
    <w:bookmarkStart w:id="68"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8"/>
    <w:bookmarkStart w:id="70"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9">
        <w:r>
          <w:rPr>
            <w:rStyle w:val="Hyperlink"/>
          </w:rPr>
          <w:t xml:space="preserve">www.enterprisesurveys.org</w:t>
        </w:r>
      </w:hyperlink>
      <w:r>
        <w:t xml:space="preserve">. Analysis scripts to replicate the results are available from the corresponding author on reasonable request.</w:t>
      </w:r>
    </w:p>
    <w:bookmarkEnd w:id="70"/>
    <w:bookmarkStart w:id="71"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71"/>
    <w:bookmarkStart w:id="72" w:name="funding"/>
    <w:p>
      <w:pPr>
        <w:pStyle w:val="Heading2"/>
      </w:pPr>
      <w:r>
        <w:t xml:space="preserve">Funding</w:t>
      </w:r>
    </w:p>
    <w:p>
      <w:pPr>
        <w:pStyle w:val="FirstParagraph"/>
      </w:pPr>
      <w:r>
        <w:t xml:space="preserve">This research received no external funding.</w:t>
      </w:r>
    </w:p>
    <w:bookmarkEnd w:id="72"/>
    <w:bookmarkStart w:id="73" w:name="conflict-of-interest"/>
    <w:p>
      <w:pPr>
        <w:pStyle w:val="Heading2"/>
      </w:pPr>
      <w:r>
        <w:t xml:space="preserve">Conflict of Interest</w:t>
      </w:r>
    </w:p>
    <w:p>
      <w:pPr>
        <w:pStyle w:val="FirstParagraph"/>
      </w:pPr>
      <w:r>
        <w:t xml:space="preserve">The authors declare no conflicts of interest.</w:t>
      </w:r>
    </w:p>
    <w:bookmarkEnd w:id="73"/>
    <w:bookmarkStart w:id="75"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74">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75"/>
    <w:bookmarkStart w:id="111"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76">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7">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78">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9">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80">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1">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2">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83">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84">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85">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86">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7">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88">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9">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90">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91">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92">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93">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4">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5">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6">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7">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98">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9">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00">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101">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102">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03">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4">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5">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6">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7">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8">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9">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10">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74">
        <w:r>
          <w:rPr>
            <w:rStyle w:val="Hyperlink"/>
          </w:rPr>
          <w:t xml:space="preserve">https://www.enterprisesurveys.org</w:t>
        </w:r>
      </w:hyperlink>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hyperlink" Id="rId69" Target="http://www.enterprisesurveys.org" TargetMode="External" /><Relationship Type="http://schemas.openxmlformats.org/officeDocument/2006/relationships/hyperlink" Id="rId103" Target="https://doi.org/10.1002/gsj.1336" TargetMode="External" /><Relationship Type="http://schemas.openxmlformats.org/officeDocument/2006/relationships/hyperlink" Id="rId87" Target="https://doi.org/10.1002/smj.2399" TargetMode="External" /><Relationship Type="http://schemas.openxmlformats.org/officeDocument/2006/relationships/hyperlink" Id="rId105" Target="https://doi.org/10.1002/smj.2995" TargetMode="External" /><Relationship Type="http://schemas.openxmlformats.org/officeDocument/2006/relationships/hyperlink" Id="rId98" Target="https://doi.org/10.1007/s11135-006-9018-6" TargetMode="External" /><Relationship Type="http://schemas.openxmlformats.org/officeDocument/2006/relationships/hyperlink" Id="rId85" Target="https://doi.org/10.1007/s11575-007-0024-2" TargetMode="External" /><Relationship Type="http://schemas.openxmlformats.org/officeDocument/2006/relationships/hyperlink" Id="rId95" Target="https://doi.org/10.1016/0304-4076(85)90158-7" TargetMode="External" /><Relationship Type="http://schemas.openxmlformats.org/officeDocument/2006/relationships/hyperlink" Id="rId92" Target="https://doi.org/10.1016/0305-750X(92)90097-F" TargetMode="External" /><Relationship Type="http://schemas.openxmlformats.org/officeDocument/2006/relationships/hyperlink" Id="rId90" Target="https://doi.org/10.1016/j.ibusrev.2017.07.003" TargetMode="External" /><Relationship Type="http://schemas.openxmlformats.org/officeDocument/2006/relationships/hyperlink" Id="rId84" Target="https://doi.org/10.1016/j.jbusres.2008.01.013" TargetMode="External" /><Relationship Type="http://schemas.openxmlformats.org/officeDocument/2006/relationships/hyperlink" Id="rId104" Target="https://doi.org/10.1016/j.jbusres.2019.09.022" TargetMode="External" /><Relationship Type="http://schemas.openxmlformats.org/officeDocument/2006/relationships/hyperlink" Id="rId77" Target="https://doi.org/10.1016/j.leaqua.2010.10.010" TargetMode="External" /><Relationship Type="http://schemas.openxmlformats.org/officeDocument/2006/relationships/hyperlink" Id="rId76" Target="https://doi.org/10.1037/0021-9010.90.1.94" TargetMode="External" /><Relationship Type="http://schemas.openxmlformats.org/officeDocument/2006/relationships/hyperlink" Id="rId86" Target="https://doi.org/10.1057/palgrave.jibs.8400003" TargetMode="External" /><Relationship Type="http://schemas.openxmlformats.org/officeDocument/2006/relationships/hyperlink" Id="rId101" Target="https://doi.org/10.1057/palgrave.jibs.8400073" TargetMode="External" /><Relationship Type="http://schemas.openxmlformats.org/officeDocument/2006/relationships/hyperlink" Id="rId100" Target="https://doi.org/10.1057/palgrave.jibs.8400377" TargetMode="External" /><Relationship Type="http://schemas.openxmlformats.org/officeDocument/2006/relationships/hyperlink" Id="rId97" Target="https://doi.org/10.1057/s41267-017-0078-8" TargetMode="External" /><Relationship Type="http://schemas.openxmlformats.org/officeDocument/2006/relationships/hyperlink" Id="rId79" Target="https://doi.org/10.1057/s41267-019-00243-7" TargetMode="External" /><Relationship Type="http://schemas.openxmlformats.org/officeDocument/2006/relationships/hyperlink" Id="rId78" Target="https://doi.org/10.1057/s41287-020-00328-2" TargetMode="External" /><Relationship Type="http://schemas.openxmlformats.org/officeDocument/2006/relationships/hyperlink" Id="rId93" Target="https://doi.org/10.1111/j.1468-0084.2009.00569.x" TargetMode="External" /><Relationship Type="http://schemas.openxmlformats.org/officeDocument/2006/relationships/hyperlink" Id="rId96" Target="https://doi.org/10.1177/0149206315624963" TargetMode="External" /><Relationship Type="http://schemas.openxmlformats.org/officeDocument/2006/relationships/hyperlink" Id="rId102" Target="https://doi.org/10.1177/0149206319846272" TargetMode="External" /><Relationship Type="http://schemas.openxmlformats.org/officeDocument/2006/relationships/hyperlink" Id="rId80" Target="https://doi.org/10.1177/014920639101700108" TargetMode="External" /><Relationship Type="http://schemas.openxmlformats.org/officeDocument/2006/relationships/hyperlink" Id="rId91" Target="https://doi.org/10.1177/2515245918770963" TargetMode="External" /><Relationship Type="http://schemas.openxmlformats.org/officeDocument/2006/relationships/hyperlink" Id="rId82" Target="https://doi.org/10.1257/mac.20180386" TargetMode="External" /><Relationship Type="http://schemas.openxmlformats.org/officeDocument/2006/relationships/hyperlink" Id="rId83" Target="https://doi.org/10.2307/2393553" TargetMode="External" /><Relationship Type="http://schemas.openxmlformats.org/officeDocument/2006/relationships/hyperlink" Id="rId81" Target="https://doi.org/10.25300/MISQ/2013/37:2.3" TargetMode="External" /><Relationship Type="http://schemas.openxmlformats.org/officeDocument/2006/relationships/hyperlink" Id="rId94" Target="https://doi.org/10.5465/20159604" TargetMode="External" /><Relationship Type="http://schemas.openxmlformats.org/officeDocument/2006/relationships/hyperlink" Id="rId89" Target="https://doi.org/10.5465/256948" TargetMode="External" /><Relationship Type="http://schemas.openxmlformats.org/officeDocument/2006/relationships/hyperlink" Id="rId88" Target="https://doi.org/10.5465/amr.1984.4277628" TargetMode="External" /><Relationship Type="http://schemas.openxmlformats.org/officeDocument/2006/relationships/hyperlink" Id="rId9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4" Target="https://www.enterprisesurveys.org" TargetMode="External" /><Relationship Type="http://schemas.openxmlformats.org/officeDocument/2006/relationships/hyperlink" Id="rId108" Target="https://www.imda.gov.sg/resources/press-releases-factsheets-and-speeches/press-releases/2025/asia-tech-x-singapore-turns-five" TargetMode="External" /><Relationship Type="http://schemas.openxmlformats.org/officeDocument/2006/relationships/hyperlink" Id="rId110" Target="https://www.startupblink.com/blog/innovators-business-environment-index/" TargetMode="External" /><Relationship Type="http://schemas.openxmlformats.org/officeDocument/2006/relationships/hyperlink" Id="rId109" Target="https://www.startupblink.com/startup-ecosystem/singapore" TargetMode="External" /><Relationship Type="http://schemas.openxmlformats.org/officeDocument/2006/relationships/hyperlink" Id="rId10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9" Target="http://www.enterprisesurveys.org" TargetMode="External" /><Relationship Type="http://schemas.openxmlformats.org/officeDocument/2006/relationships/hyperlink" Id="rId103" Target="https://doi.org/10.1002/gsj.1336" TargetMode="External" /><Relationship Type="http://schemas.openxmlformats.org/officeDocument/2006/relationships/hyperlink" Id="rId87" Target="https://doi.org/10.1002/smj.2399" TargetMode="External" /><Relationship Type="http://schemas.openxmlformats.org/officeDocument/2006/relationships/hyperlink" Id="rId105" Target="https://doi.org/10.1002/smj.2995" TargetMode="External" /><Relationship Type="http://schemas.openxmlformats.org/officeDocument/2006/relationships/hyperlink" Id="rId98" Target="https://doi.org/10.1007/s11135-006-9018-6" TargetMode="External" /><Relationship Type="http://schemas.openxmlformats.org/officeDocument/2006/relationships/hyperlink" Id="rId85" Target="https://doi.org/10.1007/s11575-007-0024-2" TargetMode="External" /><Relationship Type="http://schemas.openxmlformats.org/officeDocument/2006/relationships/hyperlink" Id="rId95" Target="https://doi.org/10.1016/0304-4076(85)90158-7" TargetMode="External" /><Relationship Type="http://schemas.openxmlformats.org/officeDocument/2006/relationships/hyperlink" Id="rId92" Target="https://doi.org/10.1016/0305-750X(92)90097-F" TargetMode="External" /><Relationship Type="http://schemas.openxmlformats.org/officeDocument/2006/relationships/hyperlink" Id="rId90" Target="https://doi.org/10.1016/j.ibusrev.2017.07.003" TargetMode="External" /><Relationship Type="http://schemas.openxmlformats.org/officeDocument/2006/relationships/hyperlink" Id="rId84" Target="https://doi.org/10.1016/j.jbusres.2008.01.013" TargetMode="External" /><Relationship Type="http://schemas.openxmlformats.org/officeDocument/2006/relationships/hyperlink" Id="rId104" Target="https://doi.org/10.1016/j.jbusres.2019.09.022" TargetMode="External" /><Relationship Type="http://schemas.openxmlformats.org/officeDocument/2006/relationships/hyperlink" Id="rId77" Target="https://doi.org/10.1016/j.leaqua.2010.10.010" TargetMode="External" /><Relationship Type="http://schemas.openxmlformats.org/officeDocument/2006/relationships/hyperlink" Id="rId76" Target="https://doi.org/10.1037/0021-9010.90.1.94" TargetMode="External" /><Relationship Type="http://schemas.openxmlformats.org/officeDocument/2006/relationships/hyperlink" Id="rId86" Target="https://doi.org/10.1057/palgrave.jibs.8400003" TargetMode="External" /><Relationship Type="http://schemas.openxmlformats.org/officeDocument/2006/relationships/hyperlink" Id="rId101" Target="https://doi.org/10.1057/palgrave.jibs.8400073" TargetMode="External" /><Relationship Type="http://schemas.openxmlformats.org/officeDocument/2006/relationships/hyperlink" Id="rId100" Target="https://doi.org/10.1057/palgrave.jibs.8400377" TargetMode="External" /><Relationship Type="http://schemas.openxmlformats.org/officeDocument/2006/relationships/hyperlink" Id="rId97" Target="https://doi.org/10.1057/s41267-017-0078-8" TargetMode="External" /><Relationship Type="http://schemas.openxmlformats.org/officeDocument/2006/relationships/hyperlink" Id="rId79" Target="https://doi.org/10.1057/s41267-019-00243-7" TargetMode="External" /><Relationship Type="http://schemas.openxmlformats.org/officeDocument/2006/relationships/hyperlink" Id="rId78" Target="https://doi.org/10.1057/s41287-020-00328-2" TargetMode="External" /><Relationship Type="http://schemas.openxmlformats.org/officeDocument/2006/relationships/hyperlink" Id="rId93" Target="https://doi.org/10.1111/j.1468-0084.2009.00569.x" TargetMode="External" /><Relationship Type="http://schemas.openxmlformats.org/officeDocument/2006/relationships/hyperlink" Id="rId96" Target="https://doi.org/10.1177/0149206315624963" TargetMode="External" /><Relationship Type="http://schemas.openxmlformats.org/officeDocument/2006/relationships/hyperlink" Id="rId102" Target="https://doi.org/10.1177/0149206319846272" TargetMode="External" /><Relationship Type="http://schemas.openxmlformats.org/officeDocument/2006/relationships/hyperlink" Id="rId80" Target="https://doi.org/10.1177/014920639101700108" TargetMode="External" /><Relationship Type="http://schemas.openxmlformats.org/officeDocument/2006/relationships/hyperlink" Id="rId91" Target="https://doi.org/10.1177/2515245918770963" TargetMode="External" /><Relationship Type="http://schemas.openxmlformats.org/officeDocument/2006/relationships/hyperlink" Id="rId82" Target="https://doi.org/10.1257/mac.20180386" TargetMode="External" /><Relationship Type="http://schemas.openxmlformats.org/officeDocument/2006/relationships/hyperlink" Id="rId83" Target="https://doi.org/10.2307/2393553" TargetMode="External" /><Relationship Type="http://schemas.openxmlformats.org/officeDocument/2006/relationships/hyperlink" Id="rId81" Target="https://doi.org/10.25300/MISQ/2013/37:2.3" TargetMode="External" /><Relationship Type="http://schemas.openxmlformats.org/officeDocument/2006/relationships/hyperlink" Id="rId94" Target="https://doi.org/10.5465/20159604" TargetMode="External" /><Relationship Type="http://schemas.openxmlformats.org/officeDocument/2006/relationships/hyperlink" Id="rId89" Target="https://doi.org/10.5465/256948" TargetMode="External" /><Relationship Type="http://schemas.openxmlformats.org/officeDocument/2006/relationships/hyperlink" Id="rId88" Target="https://doi.org/10.5465/amr.1984.4277628" TargetMode="External" /><Relationship Type="http://schemas.openxmlformats.org/officeDocument/2006/relationships/hyperlink" Id="rId9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4" Target="https://www.enterprisesurveys.org" TargetMode="External" /><Relationship Type="http://schemas.openxmlformats.org/officeDocument/2006/relationships/hyperlink" Id="rId108" Target="https://www.imda.gov.sg/resources/press-releases-factsheets-and-speeches/press-releases/2025/asia-tech-x-singapore-turns-five" TargetMode="External" /><Relationship Type="http://schemas.openxmlformats.org/officeDocument/2006/relationships/hyperlink" Id="rId110" Target="https://www.startupblink.com/blog/innovators-business-environment-index/" TargetMode="External" /><Relationship Type="http://schemas.openxmlformats.org/officeDocument/2006/relationships/hyperlink" Id="rId109" Target="https://www.startupblink.com/startup-ecosystem/singapore" TargetMode="External" /><Relationship Type="http://schemas.openxmlformats.org/officeDocument/2006/relationships/hyperlink" Id="rId10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2026-05-25T00:54:54Z</dcterms:created>
  <dcterms:modified xsi:type="dcterms:W3CDTF">2026-05-25T00:54:54Z</dcterms:modified>
</cp:coreProperties>
</file>

<file path=docProps/custom.xml><?xml version="1.0" encoding="utf-8"?>
<Properties xmlns="http://schemas.openxmlformats.org/officeDocument/2006/custom-properties" xmlns:vt="http://schemas.openxmlformats.org/officeDocument/2006/docPropsVTypes"/>
</file>