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9.png" ContentType="image/png"/>
  <Override PartName="/word/media/rId55.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Substantial publication bias is detected: trim-and-fill imputes</w:t>
      </w:r>
      <w:r>
        <w:t xml:space="preserve"> </w:t>
      </w:r>
      <w:r>
        <w:rPr>
          <w:iCs/>
          <w:i/>
        </w:rPr>
        <w:t xml:space="preserve">k</w:t>
      </w:r>
      <w:r>
        <w:t xml:space="preserve"> </w:t>
      </w:r>
      <w:r>
        <w:t xml:space="preserve">= 58 missing studies, reducing the adjusted pooled effect to</w:t>
      </w:r>
      <w:r>
        <w:t xml:space="preserve"> </w:t>
      </w:r>
      <w:r>
        <w:rPr>
          <w:iCs/>
          <w:i/>
        </w:rPr>
        <w:t xml:space="preserve">r</w:t>
      </w:r>
      <w:r>
        <w:t xml:space="preserve"> </w:t>
      </w:r>
      <w:r>
        <w:t xml:space="preserve">= 0.035 (95% CI [0.023, 0.048]) — positive but attenuated.</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5-regime classification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 framework applied to a globally representative I→P corpus (</w:t>
      </w:r>
      <w:r>
        <w:rPr>
          <w:iCs/>
          <w:i/>
        </w:rPr>
        <w:t xml:space="preserve">k</w:t>
      </w:r>
      <w:r>
        <w:t xml:space="preserve"> </w:t>
      </w:r>
      <w:r>
        <w:t xml:space="preserve">= 238, 49 economies);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most substantive finding is publication bias (H4 confirmed): trim-and-fill imputes</w:t>
      </w:r>
      <w:r>
        <w:t xml:space="preserve"> </w:t>
      </w:r>
      <w:r>
        <w:rPr>
          <w:iCs/>
          <w:i/>
        </w:rPr>
        <w:t xml:space="preserve">k</w:t>
      </w:r>
      <w:r>
        <w:t xml:space="preserve"> </w:t>
      </w:r>
      <w:r>
        <w:t xml:space="preserve">= 58 missing studies, reducing the adjusted estimate to</w:t>
      </w:r>
      <w:r>
        <w:t xml:space="preserve"> </w:t>
      </w:r>
      <w:r>
        <w:rPr>
          <w:iCs/>
          <w:i/>
        </w:rPr>
        <w:t xml:space="preserve">r</w:t>
      </w:r>
      <w:r>
        <w:t xml:space="preserve"> </w:t>
      </w:r>
      <w:r>
        <w:t xml:space="preserve">= 0.035 — positive but substantially smaller than the raw pooled effect.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5-regime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3"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bookmarkEnd w:id="33"/>
    <w:bookmarkStart w:id="34"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4"/>
    <w:bookmarkStart w:id="38" w:name="X1d41e663e785934d4feadbd21b81f03c51339a8"/>
    <w:p>
      <w:pPr>
        <w:pStyle w:val="Heading3"/>
      </w:pPr>
      <w:r>
        <w:t xml:space="preserve">3.3 Data Extraction and Quality Assurance</w:t>
      </w:r>
    </w:p>
    <w:bookmarkStart w:id="35"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5"/>
    <w:bookmarkStart w:id="36"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Start w:id="37"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7"/>
    <w:bookmarkEnd w:id="38"/>
    <w:bookmarkStart w:id="39"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9"/>
    <w:bookmarkStart w:id="40"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40"/>
    <w:bookmarkStart w:id="41"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1"/>
    <w:bookmarkStart w:id="42"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2"/>
    <w:bookmarkEnd w:id="43"/>
    <w:bookmarkStart w:id="63" w:name="X121719332867ee227f0a04b486098cee978c6e6"/>
    <w:p>
      <w:pPr>
        <w:pStyle w:val="Heading2"/>
      </w:pPr>
      <w:r>
        <w:t xml:space="preserve">4. Results</w:t>
      </w:r>
    </w:p>
    <w:bookmarkStart w:id="44"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4"/>
    <w:bookmarkStart w:id="45"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§§4.3–4.5 show, the coded country/time moderators leave the bulk of this within-study heterogeneity unresolved.</w:t>
      </w:r>
    </w:p>
    <w:bookmarkEnd w:id="45"/>
    <w:bookmarkStart w:id="49"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5-regime forest plot — subgroup pooled effects with 95% CI" title="" id="47" name="Picture"/>
            <a:graphic>
              <a:graphicData uri="http://schemas.openxmlformats.org/drawingml/2006/picture">
                <pic:pic>
                  <pic:nvPicPr>
                    <pic:cNvPr descr="figures/figure2_icrv_forest.png" id="48" name="Picture"/>
                    <pic:cNvPicPr>
                      <a:picLocks noChangeArrowheads="1" noChangeAspect="1"/>
                    </pic:cNvPicPr>
                  </pic:nvPicPr>
                  <pic:blipFill>
                    <a:blip r:embed="rId46"/>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w:t>
      </w:r>
    </w:p>
    <w:bookmarkEnd w:id="49"/>
    <w:bookmarkStart w:id="50"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50"/>
    <w:bookmarkStart w:id="54"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BodyText"/>
      </w:pPr>
      <w:r>
        <w:drawing>
          <wp:inline>
            <wp:extent cx="5753100" cy="4403829"/>
            <wp:effectExtent b="0" l="0" r="0" t="0"/>
            <wp:docPr descr="Figure 3: DPL phase moderation — pooled I→P effect by digital adoption epoch" title="" id="52" name="Picture"/>
            <a:graphic>
              <a:graphicData uri="http://schemas.openxmlformats.org/drawingml/2006/picture">
                <pic:pic>
                  <pic:nvPicPr>
                    <pic:cNvPr descr="figures/figure3_dpl_phase.png" id="53" name="Picture"/>
                    <pic:cNvPicPr>
                      <a:picLocks noChangeArrowheads="1" noChangeAspect="1"/>
                    </pic:cNvPicPr>
                  </pic:nvPicPr>
                  <pic:blipFill>
                    <a:blip r:embed="rId51"/>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4"/>
    <w:bookmarkStart w:id="58"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BodyText"/>
      </w:pPr>
      <w:r>
        <w:drawing>
          <wp:inline>
            <wp:extent cx="5753100" cy="4601444"/>
            <wp:effectExtent b="0" l="0" r="0" t="0"/>
            <wp:docPr descr="Figure 5: Funnel plot with trim-and-fill imputed studies" title="" id="56" name="Picture"/>
            <a:graphic>
              <a:graphicData uri="http://schemas.openxmlformats.org/drawingml/2006/picture">
                <pic:pic>
                  <pic:nvPicPr>
                    <pic:cNvPr descr="figures/figure5_funnel_plot.png" id="57" name="Picture"/>
                    <pic:cNvPicPr>
                      <a:picLocks noChangeArrowheads="1" noChangeAspect="1"/>
                    </pic:cNvPicPr>
                  </pic:nvPicPr>
                  <pic:blipFill>
                    <a:blip r:embed="rId55"/>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8"/>
    <w:bookmarkStart w:id="62"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BodyText"/>
      </w:pPr>
      <w:r>
        <w:drawing>
          <wp:inline>
            <wp:extent cx="5753100" cy="2528953"/>
            <wp:effectExtent b="0" l="0" r="0" t="0"/>
            <wp:docPr descr="Figure 4: Leave-one-out sensitivity — pooled r̄ range across leave-one-out iterations" title="" id="60" name="Picture"/>
            <a:graphic>
              <a:graphicData uri="http://schemas.openxmlformats.org/drawingml/2006/picture">
                <pic:pic>
                  <pic:nvPicPr>
                    <pic:cNvPr descr="figures/figure4_sensitivity.png" id="61" name="Picture"/>
                    <pic:cNvPicPr>
                      <a:picLocks noChangeArrowheads="1" noChangeAspect="1"/>
                    </pic:cNvPicPr>
                  </pic:nvPicPr>
                  <pic:blipFill>
                    <a:blip r:embed="rId59"/>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2"/>
    <w:bookmarkEnd w:id="63"/>
    <w:bookmarkStart w:id="68" w:name="X735612638e4e736e4693e459c258977262c0dfc"/>
    <w:p>
      <w:pPr>
        <w:pStyle w:val="Heading2"/>
      </w:pPr>
      <w:r>
        <w:t xml:space="preserve">5. Discussion</w:t>
      </w:r>
    </w:p>
    <w:bookmarkStart w:id="64"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4"/>
    <w:bookmarkStart w:id="65"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 "positive I→P relationship" is partially an artifact of selective publication rather than a robust phenomenon.</w:t>
      </w:r>
    </w:p>
    <w:bookmarkEnd w:id="65"/>
    <w:bookmarkStart w:id="66"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 "internationalization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6"/>
    <w:bookmarkStart w:id="67"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7"/>
    <w:bookmarkEnd w:id="68"/>
    <w:bookmarkStart w:id="69" w:name="X6b297cc947e0db5526be369b1f0f4ddc67b2415"/>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9"/>
    <w:bookmarkStart w:id="7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0"/>
    <w:bookmarkStart w:id="71" w:name="competing-interests"/>
    <w:p>
      <w:pPr>
        <w:pStyle w:val="Heading2"/>
      </w:pPr>
      <w:r>
        <w:t xml:space="preserve">Competing Interests</w:t>
      </w:r>
    </w:p>
    <w:p>
      <w:pPr>
        <w:pStyle w:val="FirstParagraph"/>
      </w:pPr>
      <w:r>
        <w:t xml:space="preserve">The authors declare no conflict of interest.</w:t>
      </w:r>
    </w:p>
    <w:bookmarkEnd w:id="71"/>
    <w:bookmarkStart w:id="72"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2"/>
    <w:bookmarkStart w:id="76"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3">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74">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75">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6"/>
    <w:bookmarkStart w:id="77"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7"/>
    <w:bookmarkStart w:id="78"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8"/>
    <w:bookmarkStart w:id="79"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27" Target="media/rId27.png" /><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136/bmj.n71" TargetMode="External" /><Relationship Type="http://schemas.openxmlformats.org/officeDocument/2006/relationships/hyperlink" Id="rId73" Target="https://doi.org/10.5772/intechopen.1011012" TargetMode="External" /><Relationship Type="http://schemas.openxmlformats.org/officeDocument/2006/relationships/hyperlink" Id="rId75"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2026-05-25T00:54:54Z</dcterms:created>
  <dcterms:modified xsi:type="dcterms:W3CDTF">2026-05-25T00:54:54Z</dcterms:modified>
</cp:coreProperties>
</file>

<file path=docProps/custom.xml><?xml version="1.0" encoding="utf-8"?>
<Properties xmlns="http://schemas.openxmlformats.org/officeDocument/2006/custom-properties" xmlns:vt="http://schemas.openxmlformats.org/officeDocument/2006/docPropsVTypes"/>
</file>