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Within the observed export-intensity range, the internationalization–performance relationship is better characterized as predominantly positive with mild quadratic curvature than as a formally identified inverted-U. The fitted quadratic does imply a turning point in the upper tail, but that point is imprecisely located and falls in a sparsely populated region of the data. Technological capability is positively associated with labour productivity, while no statistically distinguishable moderation by TCI emerges under the present design. Digital adoption behaves differently: it exhibits no large uniform productivity premium across firms, and its association with productivity becomes more positive only at higher levels of export intensity, with the clearest signal concentrated in the high-export tail. Taken together, the findings provide within-context evidence from Singapore. That evidence sharpens the distinction between technological capability and foundational digital adoption, and it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2026-05-27T02:04:35Z</dcterms:created>
  <dcterms:modified xsi:type="dcterms:W3CDTF">2026-05-27T02:04:35Z</dcterms:modified>
</cp:coreProperties>
</file>

<file path=docProps/custom.xml><?xml version="1.0" encoding="utf-8"?>
<Properties xmlns="http://schemas.openxmlformats.org/officeDocument/2006/custom-properties" xmlns:vt="http://schemas.openxmlformats.org/officeDocument/2006/docPropsVTypes"/>
</file>