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 U‑shaped relationship between export intensity and firm performance among Chinese private firms is</w:t>
      </w:r>
      <w:r>
        <w:t xml:space="preserve"> </w:t>
      </w:r>
      <w:r>
        <w:rPr>
          <w:bCs/>
          <w:b/>
        </w:rPr>
        <w:t xml:space="preserve">structurally durable or wave-specific</w:t>
      </w:r>
      <w:r>
        <w:t xml:space="preserve">, and clarifies the role of technological capability and foundational digital adoption in shaping this relationship.</w:t>
      </w:r>
    </w:p>
    <w:p>
      <w:pPr>
        <w:pStyle w:val="BodyText"/>
      </w:pPr>
      <w:r>
        <w:rPr>
          <w:bCs/>
          <w:b/>
        </w:rPr>
        <w:t xml:space="preserve">Design/methodology/approach.</w:t>
      </w:r>
      <w:r>
        <w:t xml:space="preserve"> </w:t>
      </w:r>
      <w:r>
        <w:t xml:space="preserve">Drawing on World Bank Enterprise Survey microdata for China (2012, N = 2,610; 2024, N = 1,934; pooled N = 4,544), we estimate quadratic models with full cross-wave and capability interactions. The data support</w:t>
      </w:r>
      <w:r>
        <w:t xml:space="preserve"> </w:t>
      </w:r>
      <w:r>
        <w:rPr>
          <w:bCs/>
          <w:b/>
        </w:rPr>
        <w:t xml:space="preserve">H2b (structural durability)</w:t>
      </w:r>
      <w:r>
        <w:t xml:space="preserve"> </w:t>
      </w:r>
      <w:r>
        <w:t xml:space="preserve">over</w:t>
      </w:r>
      <w:r>
        <w:t xml:space="preserve"> </w:t>
      </w:r>
      <w:r>
        <w:rPr>
          <w:bCs/>
          <w:b/>
        </w:rPr>
        <w:t xml:space="preserve">H2a (environmental shift)</w:t>
      </w:r>
      <w:r>
        <w:t xml:space="preserve">: cross‑wave Paternoster (1998) z‑tests do not reject equality of the linear and squared export‑intensity coefficients (FSTS z = +0.82, p = .412;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.545), and the pooled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yields F(2, 3,558) = 2.24, p = .107.</w:t>
      </w:r>
    </w:p>
    <w:p>
      <w:pPr>
        <w:pStyle w:val="BodyText"/>
      </w:pPr>
      <w:r>
        <w:rPr>
          <w:bCs/>
          <w:b/>
        </w:rPr>
        <w:t xml:space="preserve">Findings.</w:t>
      </w:r>
      <w:r>
        <w:t xml:space="preserve"> </w:t>
      </w:r>
      <w:r>
        <w:t xml:space="preserve">Estimated turning points remain in a remarkably tight range, 49.4 % of total sales in 2012, 47.2 % in 2024, and 48.8 % in the pooled sample, with overlapping 95 % delta‑method confidence intervals. Technological capability is robustly associated with higher productivity in both waves (β_z = +0.28 in 2012 and +0.43 in 2024; both p &lt; .001), and a single‑item digital‑presence proxy (own website) is positively associated with productivity in 2024 and the pooled sample (β_z = +0.07, p = .04 in 2024; β_z = +0.06, p = .006 pooled), but neither construct robustly moderates the curvature of the inverted-U: the joint F‑test on capability×curvature interactions (F = 3.26, p = .039) is marginal, individual coefficients are not significant, and the three‑way capability×wave×curvature dynamic moderation test returns F = 0.27, p = .760.</w:t>
      </w:r>
    </w:p>
    <w:p>
      <w:pPr>
        <w:pStyle w:val="BodyText"/>
      </w:pPr>
      <w:r>
        <w:rPr>
          <w:bCs/>
          <w:b/>
        </w:rPr>
        <w:t xml:space="preserve">Originality/value.</w:t>
      </w:r>
      <w:r>
        <w:t xml:space="preserve"> </w:t>
      </w:r>
      <w:r>
        <w:rPr>
          <w:bCs/>
          <w:b/>
        </w:rPr>
        <w:t xml:space="preserve">H2b (structural durability) is confirmed over H2a (environmental shift)</w:t>
      </w:r>
      <w:r>
        <w:t xml:space="preserve">: despite substantial structural change in China between 2012 and 2024, cross-wave tests support the thesis that the Chinese internationalization–performance trade-off is</w:t>
      </w:r>
      <w:r>
        <w:t xml:space="preserve"> </w:t>
      </w:r>
      <w:r>
        <w:rPr>
          <w:bCs/>
          <w:b/>
        </w:rPr>
        <w:t xml:space="preserve">durably structural rather than wave-specific or capability-conditioned</w:t>
      </w:r>
      <w:r>
        <w:t xml:space="preserve">. The contribution recasts the inverted-U threshold from a sample-specific regularity into an enduring structural feature of the setting — in effect a</w:t>
      </w:r>
      <w:r>
        <w:t xml:space="preserve"> </w:t>
      </w:r>
      <w:r>
        <w:rPr>
          <w:iCs/>
          <w:i/>
        </w:rPr>
        <w:t xml:space="preserve">survival constant</w:t>
      </w:r>
      <w:r>
        <w:t xml:space="preserve"> </w:t>
      </w:r>
      <w:r>
        <w:t xml:space="preserve">for Chinese private firms, with structural over-embeddedness in global value chains as the candidate mechanism (a working-capital channel is probed but not stably identified); null capability curvature moderation reinforces the durability interpretation. The findings also extend the China-specific cubic baseline of Author Citation (2026, JFAR) and the multi-country emerging-Asia synthesis of Author Citation (2026, VEFR) by adding a temporal-stability dimension.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 substantial empirical literature, including several meta‑analyses spanning multiple decades and country contexts, now favors a nonlinear inverted U‑shape: performance rises at low to moderate levels of internationalization and declines once foreign exposure becomes excessive (Hitt, Hoskisson, &amp; Kim, 1997; Contractor, Kundu, &amp; Hsu, 2003; Lu &amp; Beamish, 2004; Marano, Arregle, Hitt, Spadafora, &amp; van Essen, 2016; Schwens et al., 2018; Author Citation, 2025, ICBEF). A more demanding question, and the one this study takes up, is whether the implied turning point is a</w:t>
      </w:r>
      <w:r>
        <w:t xml:space="preserve"> </w:t>
      </w:r>
      <w:r>
        <w:rPr>
          <w:iCs/>
          <w:i/>
        </w:rPr>
        <w:t xml:space="preserve">durable structural feature</w:t>
      </w:r>
      <w:r>
        <w:t xml:space="preserve"> </w:t>
      </w:r>
      <w:r>
        <w:t xml:space="preserve">of a setting or simply a sample‑specific regularity that evolves as institutional and competitive conditions change. The "too‑much‑of‑a‑good‑thing" pattern is by now well established in management research (Pierce &amp; Aguinis, 2013). Its temporal robustness within a single national context, however, has rarely been examined. For private firms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themselves matured over this period in the WBES sample. Average firm age in the analytic samples rose from 12.6 to 13.9 years, and average labour productivity (log scale) rose from 12.52 to 13.01, a roughly 64 % productivity premium in level terms (exp(0.49) ≈ 1.64). Under conventional internationalization theory, several of these changes should have shifted the inverted‑U turning point: by raising the productive returns to internationalization at the upper tail (capability strengthening), by softening the post‑threshold downturn (improved trade finance), or both. Whether the predicted shift actually materialises is an empirical question that, for China in the post‑GFC, post‑COVID period, has not been directly tested.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concerns motivate the inquiry.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behaviour is therefore a non‑trivial empirical contribution beyond the standard inverted‑U claim (Haans, Pieters, &amp; He, 2016). The IB literature also increasingly recognises that the post‑threshold downturn may reflect not only generic coordination costs (Hennart, 2007; Contractor, 2007) but also more specific financial frictions (cash‑conversion lengthening, foreign‑receivables exposure, and credit‑constraint binding for trade‑finance access) that intensify as export intensity rises (Manova, 2013; Foley &amp; Manova, 2015; Niepmann &amp; Schmidt-Eisenlohr, 2017; Demir &amp; Javorcik, 2018). The growing role of digital adoption and technological capability in firm productivity, finally,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Yet the available WBES indicators capture lower‑tier digital adoption rather than full dynamic digital capability. Disentangling these three threads, temporal stability, financial mechanism, and capability role, is the analytical agenda of this study.</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this study frames competing H2a (predicted shift) and H2b (structural durability) hypotheses and lets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This study makes four contributions. The first is to identify and characterise an optimal export‑intensity threshold for Chinese private firms at approximately 48 % of total sales, with a managerially relevant safe operating zone of 30 % to 60 %. This threshold complements the 47.8 % cubic turning point reported by Author Citation (2026 — JFAR) for Chinese manufacturing SMEs, extending the analysis to the full WBES private-firm frame and to a second wave a decade later. The central contribution is cross‑wave evidence that the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capital×curvature) converge on the same substantive interpretation. A third contribution documents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the study speaks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speaks to the skepticism of Pisani, Garcia-Bernardo, and Heemskerk (2020, SMJ), who show that the inverted-U relationship weakens or disappears under more rigorous identification approaches in cross-national pooled samples. The within-country temporal-stability result suggests that single-country institutional contexts can preserve a functional-form regularity that cross-national samples obscure through aggregation heterogeneity. This study also offers a working‑capital‑trap interpretation of the post‑threshold downturn (Manova, 2013) as theoretically grounded but not directly identified in the present data, and marks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764110"/>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2,610; 2024, N = 1,934; pooled, N = 4,544)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focal-set pooled sample (N = 4,559 reported in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this study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both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This study therefore retains the working-capital interpretation as a theoretically grounded explanation rather than as a directly established empirical channel, and identifies the integration of richer financial microdata (cash-conversion cycle, days-receivable-outstanding, trade-finance pricing) as a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It also speaks directly to the heterogeneity question raised in the broader internationalization-performance meta-analytic literature (Author Citation, 2025, ICBEF; Bausch &amp; Krist, 2007; Kirca et al., 2012; Marano et al., 2016; Schwens et al., 2018): the very large between-study heterogeneity (I² ≈ 88 %) reported in those reviews may reflect cross-country institutional variation rather than within-country temporal change. By holding country fixed and testing the temporal dimension, this study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t xml:space="preserve">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t xml:space="preserve">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t xml:space="preserve">More generally,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SME credit-market reforms targeting working-capital lines, factoring, export credit insurance, and trade-finance access (Manova, 2013; Niepmann &amp; Schmidt-Eisenlohr, 2017; Demir &amp; Javorcik, 2018) may in turn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Finally,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t xml:space="preserve">The first contribution extends the scope of the</w:t>
      </w:r>
      <w:r>
        <w:t xml:space="preserve"> </w:t>
      </w:r>
      <w:r>
        <w:rPr>
          <w:iCs/>
          <w:i/>
        </w:rPr>
        <w:t xml:space="preserve">internationalization–performance</w:t>
      </w:r>
      <w:r>
        <w:t xml:space="preserve"> </w:t>
      </w:r>
      <w:r>
        <w:t xml:space="preserve">literature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It has rarely tested its temporal stability within a single national context. The durability finding reported here establishes that, at least in China and over the 2012-2024 window, the inverted-U is more than a sample-specific regularity. It is an enduring structural feature of the trade-off. This evidence complements the cross-country heterogeneity emphasis of the meta-analytic tradition with within-country temporal evidence, and it provides a benchmark for future replication studies in other emerging-economy contexts.</w:t>
      </w:r>
    </w:p>
    <w:p>
      <w:pPr>
        <w:pStyle w:val="BodyText"/>
      </w:pPr>
      <w:r>
        <w:t xml:space="preserve">A second contribution speaks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t xml:space="preserve">The paper also contributes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t xml:space="preserve">A fourth contribution is methodological. This study demonstrates, for the IB literature on</w:t>
      </w:r>
      <w:r>
        <w:t xml:space="preserve"> </w:t>
      </w:r>
      <w:r>
        <w:rPr>
          <w:iCs/>
          <w:i/>
        </w:rPr>
        <w:t xml:space="preserve">threshold-stability testing</w:t>
      </w:r>
      <w:r>
        <w:t xml:space="preserve">, the value of combining (a) wave-by-wave separate estimates with (b) Paternoster z-tests on individual coefficients and (c) joint F-tests in pooled three-way specifications. The triangulation provides a more robust verdict than any single test alone, which matters particularly when the substantive claim hinges on a</w:t>
      </w:r>
      <w:r>
        <w:t xml:space="preserve"> </w:t>
      </w:r>
      <w:r>
        <w:rPr>
          <w:iCs/>
          <w:i/>
        </w:rPr>
        <w:t xml:space="preserve">failure to reject</w:t>
      </w:r>
      <w:r>
        <w:t xml:space="preserve"> </w:t>
      </w:r>
      <w:r>
        <w:t xml:space="preserve">a null. The reporting protocol set out here can be adopted by future studies testing the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 The inverted-U pattern is detected in the WBES private-firm frame and may not extend to publicly-listed Chinese firms, which face different regulatory, governance, and capital-market conditions. The durability claim, moreover, is tested across two waves separated by 12 years; whether the threshold remains stable across longer windows or different sub-periods (e.g., pre- vs post-COVID) is an empirical question that the present design cannot answer. The threshold-stability finding is also China-specific; the broader internationalization-performance literature suggests substantial cross-country variation, and the durability we document may not extend to other emerging economies, a question we identify for future cross-country WBES replication. Finally,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t xml:space="preserve">Most fundamentally, the WBES microdata are repeated cross‑sections rather than a true firm panel. This study cannot identify within‑firm change over time and cannot control for time‑invariant unobserved heterogeneity (Antonakis et al., 2010; Eden &amp; Nielsen, 2020; Shaver, 2020). The associational language adopted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here; combining them with a future 2032 wave, should WBES China continue its decennial pattern, would yield a 3-wave subset that supports within-firm fixed-effects estimation. This study identifies that extension as a high priority once the data become available.</w:t>
      </w:r>
    </w:p>
    <w:p>
      <w:pPr>
        <w:pStyle w:val="BodyText"/>
      </w:pPr>
      <w:r>
        <w:t xml:space="preserve">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t xml:space="preserve">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t xml:space="preserve">The WBES sample frame, in addition,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t xml:space="preserve">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t xml:space="preserve">Finally,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2026-05-27T02:04:35Z</dcterms:created>
  <dcterms:modified xsi:type="dcterms:W3CDTF">2026-05-27T02:04:35Z</dcterms:modified>
</cp:coreProperties>
</file>

<file path=docProps/custom.xml><?xml version="1.0" encoding="utf-8"?>
<Properties xmlns="http://schemas.openxmlformats.org/officeDocument/2006/custom-properties" xmlns:vt="http://schemas.openxmlformats.org/officeDocument/2006/docPropsVTypes"/>
</file>