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This study argues that when all three are absent at once, as they are in Pacific Small Island Developing States (SIDS), the expected non-linear pattern collapses into a monotone negative relationship. We term this the</w:t>
      </w:r>
      <w:r>
        <w:t xml:space="preserve"> </w:t>
      </w:r>
      <w:r>
        <w:rPr>
          <w:bCs/>
          <w:b/>
        </w:rPr>
        <w:t xml:space="preserve">Forced Internationalization Penalty (FIP)</w:t>
      </w:r>
      <w:r>
        <w:t xml:space="preserve">. FIP is not the downward phase-1 slope of three-stage internationalization theory. It is not a transient learning cost that eventually crosses a turning point; rather, it is a persistent structural condition that arises from the compulsion to export despite systemic disadvantages. Drawing on World Bank Enterprise Survey data from 1,469 firms across nine Pacific SIDS economies (2009–2025), the analysis indicates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both significant moderators in mainland Asian contexts, turn out to be null in the SIDS environment. This pattern is consistent with the FIP mechanism: where the structural prerequisites are absent, firm-level capabilities cannot redirect the I-P relationship toward positive territory. These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which is itself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in which even an initial downward phase-1 slope is transient and eventually gives way to net benefits. Both frameworks share a foundational assumption. The institutional environment, while it may moderate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study challenges that assumption. We argue that certain structural conditions, characteristic of Small Island Developing States (SIDS), eliminate the prerequisites on which the inverted-U logic depends, and that they replace the expected non-linear pattern with a monotone negative one.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absent at once.</w:t>
      </w:r>
    </w:p>
    <w:p>
      <w:pPr>
        <w:pStyle w:val="BodyText"/>
      </w:pPr>
      <w:r>
        <w:t xml:space="preserve">SIDS offer a theoretically extreme yet empirically underserved context for I-P research. These economies are marked by microscopic domestic markets (Tonga: 104,000 inhabitants; Kiribati: 121,000), by geographic isolation so severe that it amplifies trade costs by 30–210% (Winters &amp; Martins, 2004), and by comprehensive institutional voids that limit firms' ability to appropriate returns from international activities (Briguglio, 1995; Khanna &amp; Palepu, 2010). Recent systematic tracking across 121,249 development data points confirms that these conditions have deepened rather than abated. Progress in 2020–2025 is the slowest on record across 15 of 26 tracked benchmarks, with SIDS and Sub-Saharan Africa disproportionately affected (Pirlea et al., 2026). An independent multi-indicator analysis of six development dimensions, namely poverty, life expectancy, schooling, gender equality, climate, and electricity, finds the world developing at its slowest pace in 75 years; 54 economies remain more than a century from reaching developed-country standards on current trajectories, and SIDS are disproportionately represented in this cohort (Mahler, Serajuddin, Wadhwa, &amp; Yonzan, 2026). One point matters above the rest.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at home. This compulsion, which we describe as survival-based internationalization, fundamentally alters the logic of the I-P relationship.</w:t>
      </w:r>
    </w:p>
    <w:p>
      <w:pPr>
        <w:pStyle w:val="BodyText"/>
      </w:pPr>
      <w:r>
        <w:t xml:space="preserve">This study makes three contributions to the IB literature. First, it introduces and theoretically defines FIP as a boundary condition of the inverted-U paradigm, distinguishing it from adjacent concepts that include phase-1 costs in three-stage theory (Contractor et al., 2003), Liability of Foreignness (Zaheer, 1995), and necessity entrepreneurship (Sarasvathy et al., 2014). Second, it provides empirical evidence from 1,469 firms across nine Pacific SIDS economies using World Bank Enterprise Survey (WBES) data, the most comprehensive firm-level I-P analysis in Pacific SIDS to date. Third, it documents that firm-level capabilities, namely technological capability and digital adoption, do not appear to override FIP. This last result shifts the theoretical conversation from "institutional moderation of the I-P relationship" (Marano, Tallman, &amp; Teece, 2016) toward "institutional determination of the sign of the I-P relationship."</w:t>
      </w:r>
    </w:p>
    <w:p>
      <w:pPr>
        <w:pStyle w:val="BodyText"/>
      </w:pPr>
      <w:r>
        <w:t xml:space="preserve">The findings carry direct policy implications under the Antigua and Barbuda Agenda for SIDS (United Nations General Assembly, 2024). They suggest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the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 "selection into exporting" assumption underlying most I-P models then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tell a different story. Absent financial intermediaries, unreliable contract enforcement, and limited trade facilitation infrastructure do not merely weaken the inverted-U; they may eliminate the mechanism that generates positive returns from internationalization altogether.</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SIDS firms incur when they export, not the penalty multinationals incur when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so the necessity-driven internationalization path remains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a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reach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from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that generates FIP operates at a level firm-level capabilities cannot easily offset. Two labels make this concrete. First, the negative slope is an</w:t>
      </w:r>
      <w:r>
        <w:t xml:space="preserve"> </w:t>
      </w:r>
      <w:r>
        <w:rPr>
          <w:iCs/>
          <w:i/>
        </w:rPr>
        <w:t xml:space="preserve">Isolation Penalty</w:t>
      </w:r>
      <w:r>
        <w:t xml:space="preserve">, a transaction-cost-of-isolation that geographic remoteness imposes on every cross-border transaction (the 30–210% trade-cost amplification), which a compelled exporter must bear permanently rather than amortize away. Second, a digital shield presupposes a minimal payment-and-logistics substrate to function; under the</w:t>
      </w:r>
      <w:r>
        <w:t xml:space="preserve"> </w:t>
      </w:r>
      <w:r>
        <w:rPr>
          <w:iCs/>
          <w:i/>
        </w:rPr>
        <w:t xml:space="preserve">extreme institutional void</w:t>
      </w:r>
      <w:r>
        <w:t xml:space="preserve"> </w:t>
      </w:r>
      <w:r>
        <w:t xml:space="preserve">characteristic of SIDS, that substrate is largely absent, so digital capability cannot substitute for the missing institutions and physical infrastructure.</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observations with non-missing values for labor productivity, export intensity, and firm age,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FIP test)</w:t>
      </w:r>
      <w:r>
        <w:t xml:space="preserve">:</w:t>
      </w:r>
      <w:r>
        <w:t xml:space="preserve"> </w:t>
      </w:r>
      <w:r>
        <w:t xml:space="preserve">ln_LP_it = α + β₁ FSTS_c_it + γ·X_it + δ_c + λ_t + ε_it</w:t>
      </w:r>
    </w:p>
    <w:p>
      <w:pPr>
        <w:pStyle w:val="BodyText"/>
      </w:pPr>
      <w:r>
        <w:rPr>
          <w:bCs/>
          <w:b/>
        </w:rPr>
        <w:t xml:space="preserve">M2 (quadratic FSTS, curvature test)</w:t>
      </w:r>
      <w:r>
        <w:t xml:space="preserve">:</w:t>
      </w:r>
      <w:r>
        <w:t xml:space="preserve"> </w:t>
      </w:r>
      <w:r>
        <w:t xml:space="preserve">ln_LP_it = α + β₁ FSTS_c_it + β₂ FSTS_c²_it + γ·X_it + δ_c + λ_t + ε_it</w:t>
      </w:r>
    </w:p>
    <w:p>
      <w:pPr>
        <w:pStyle w:val="BodyText"/>
      </w:pPr>
      <w:r>
        <w:rPr>
          <w:bCs/>
          <w:b/>
        </w:rPr>
        <w:t xml:space="preserve">M3 (capabilities,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and adding FSTS_c in M1 marginally increases R² to 0.8001, which indicates that, conditional on country and year fixed effects, FSTS explains limited additional variance but does so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278b3f0cc4133671f70c21e2e288fdaa4a06e72"/>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 negative I-P relationship is eventually reversed,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which might absorb too much structural variation,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which is the hallmark of the FIP mechanism rather than of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while small and non-significant,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the data show a monotone negative relationship. It persists across four modeling specifications, and it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and firms cannot accumulate the home-base resources and organizational capabilities that fund and sustain profitable internationalization. When trade costs amplify the "cost of doing business" of export revenues by 30–210% (Winters &amp; Martins, 2004), the marginal economics of exporting are negative from the outset. And when institutional voids are comprehensive, with absent trade finance intermediaries, unreliable contract enforcement, and limited standards infrastructure, firms cannot appropriate the learning and scale benefits that internationalization theory promises.</w:t>
      </w:r>
    </w:p>
    <w:p>
      <w:pPr>
        <w:pStyle w:val="BodyText"/>
      </w:pPr>
      <w:r>
        <w:t xml:space="preserve">This reframes the inverted-U from a universal empirical regularity into a</w:t>
      </w:r>
      <w:r>
        <w:t xml:space="preserve"> </w:t>
      </w:r>
      <w:r>
        <w:rPr>
          <w:iCs/>
          <w:i/>
        </w:rPr>
        <w:t xml:space="preserve">conditional</w:t>
      </w:r>
      <w:r>
        <w:t xml:space="preserve"> </w:t>
      </w:r>
      <w:r>
        <w:t xml:space="preserve">relationship: it holds when and because the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then a special case of a more general theoretical relationship. When institutional conditions cross a structural threshold from "weaker moderation" to "violated prerequisites," the sign of the I-P relationship reverses, not merely its magnitude.</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at once, the I-P functional form is not a modified inverted-U but a qualitatively different pattern, namely a monotone negative one. This extends the theoretical vocabulary of IB research beyond "intensity moderation" toward "existence moderation" of the I-P relationship.</w:t>
      </w:r>
    </w:p>
    <w:p>
      <w:pPr>
        <w:pStyle w:val="BodyText"/>
      </w:pPr>
      <w:r>
        <w:t xml:space="preserve">The finding connects to the broader question of boundary conditions in IB theory (Verbeke &amp; Brugman, 2018; Hennart, 2007). If mainstream I-P theories are derived from samples of economies where the structural prerequisites are broadly satisfied, those theories may be systematically inapplicable to the SIDS context. They would not merely need adjustment; they would represent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including Vietnam, Singapore, China, and multi-country samples, technological capability and digital adoption are statistically significant moderators of the I-P relationship (Goedhuys &amp; Sleuwaegen, 2013; Teece, 2007). Why, then,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FIP operates at a structural, pre-organizational level. A SIDS firm with ISO 9001 certification (high TCI) still faces the same 30–210% trade cost amplifications; a SIDS firm with a functioning website (DAI = 1) still faces absent trade finance institutions. Capabilities that act as powerful moderators within the structural prerequisites framework become ineffective once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inside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yet they cannot modify the negative directionality of the FSTS–performance relationship in the SIDS structural context. This nuance, that capabilities help the level and not the slope,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addressing the violated structural prerequisites in parallel, may worsen firm performance at the micro level even while they improve macroeconomic trade balances. The relevant policy question becomes: which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the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such as standards bodies, trade finance intermediaries, and export promotion agencies with genuine capacity, may address the FIP mechanism more directly than generic governance reform. Goedhuys and Sleuwaegen's (2013) evidence on international certification is instructive here. Their finding that ISO certification improves firm productivity is consistent with the null TCI result reported above if certification's productivity benefit is conditional on institutions that support standards enforcement and customer recognition, the very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although we pool across multiple country-year waves (2009–2025), few SIDS economies have more than one WBES wave (see Table 1), which limits panel identification of causal effects. The FIP estimate is identified primarily from cross-sectional variation in FSTS within country-year cells. Future work using panel data, where available for Fiji and Papua New Guinea, both of which have two waves, could strengthen causal identification.</w:t>
      </w:r>
    </w:p>
    <w:p>
      <w:pPr>
        <w:pStyle w:val="BodyText"/>
      </w:pPr>
      <w:r>
        <w:t xml:space="preserve">Second,</w:t>
      </w:r>
      <w:r>
        <w:t xml:space="preserve"> </w:t>
      </w:r>
      <w:r>
        <w:rPr>
          <w:bCs/>
          <w:b/>
        </w:rPr>
        <w:t xml:space="preserve">FSTS measurement in thin-export contexts</w:t>
      </w:r>
      <w:r>
        <w:t xml:space="preserve">: with a mean FSTS of 0.060 and only 12.7% exporters, the FSTS distribution is highly right-skewed. Coefficient estimates in M2 may be sensitive to a handful of high-FSTS outliers, so the non-significant quadratic results should be read with caution.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and static indicator. This is appropriate for the SIDS context given the limited availability of more advanced digital infrastructure indicators in WBES, but it does mean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to arise when three structural prerequisites are absent at once. Other extreme contexts, such as Saharan micro-states, remote highland economies, and post-conflict settings, may exhibit similar patterns. Caribbean SIDS, which are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This study introduced the Forced Internationalization Penalty (FIP), the monotone negative effect of internationalization intensity on firm performance when three structural prerequisites of the inverted-U relationship are absent at once: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which confirms the monotone negative form with no observable turning point. Technological capability and digital adoption, both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 "institutional moderation of I-P intensity" toward "institutional determination of I-P sign," which suggests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These should address trade costs, domestic market viability through regional integration, and targeted institutional development, rather than the intensification of export activity on its own.</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6">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8"/>
    <w:bookmarkStart w:id="52" w:name="appendix-a-tables"/>
    <w:p>
      <w:pPr>
        <w:pStyle w:val="Heading2"/>
      </w:pPr>
      <w:r>
        <w:t xml:space="preserve">Appendix A: Tables</w:t>
      </w:r>
    </w:p>
    <w:bookmarkStart w:id="49"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9"/>
    <w:bookmarkStart w:id="50"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β(FSTS_c) = −0.404, p = .032 (M1).</w:t>
      </w:r>
    </w:p>
    <w:bookmarkEnd w:id="50"/>
    <w:bookmarkStart w:id="51"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51"/>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2026-05-27T02:04:37Z</dcterms:created>
  <dcterms:modified xsi:type="dcterms:W3CDTF">2026-05-27T02:04:37Z</dcterms:modified>
</cp:coreProperties>
</file>

<file path=docProps/custom.xml><?xml version="1.0" encoding="utf-8"?>
<Properties xmlns="http://schemas.openxmlformats.org/officeDocument/2006/custom-properties" xmlns:vt="http://schemas.openxmlformats.org/officeDocument/2006/docPropsVTypes"/>
</file>