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phương-pháp-nghiên-cứu"/>
    <w:p>
      <w:pPr>
        <w:pStyle w:val="Heading1"/>
      </w:pPr>
      <w:r>
        <w:t xml:space="preserve">Phương pháp nghiên cứu</w:t>
      </w:r>
    </w:p>
    <w:p>
      <w:pPr>
        <w:pStyle w:val="FirstParagraph"/>
      </w:pPr>
      <w:r>
        <w:t xml:space="preserve">File này trình bày thiết kế nghiên cứu, nguồn dữ liệu, đo lường biến, mô hình phân tích và kiểm định độ vững. Mỗi thành phần đều được giải thích theo hai loại cơ sở:</w:t>
      </w:r>
    </w:p>
    <w:p>
      <w:pPr>
        <w:numPr>
          <w:ilvl w:val="0"/>
          <w:numId w:val="1001"/>
        </w:numPr>
        <w:pStyle w:val="Compact"/>
      </w:pPr>
      <w:r>
        <w:rPr>
          <w:bCs/>
          <w:b/>
        </w:rPr>
        <w:t xml:space="preserve">Cơ sở kế thừa</w:t>
      </w:r>
      <w:r>
        <w:t xml:space="preserve">: phương pháp đã được công nhận trong literature, kèm citation APA 7th.</w:t>
      </w:r>
    </w:p>
    <w:p>
      <w:pPr>
        <w:numPr>
          <w:ilvl w:val="0"/>
          <w:numId w:val="1001"/>
        </w:numPr>
        <w:pStyle w:val="Compact"/>
      </w:pPr>
      <w:r>
        <w:rPr>
          <w:bCs/>
          <w:b/>
        </w:rPr>
        <w:t xml:space="preserve">Đóng góp mới/điều chỉnh</w:t>
      </w:r>
      <w:r>
        <w:t xml:space="preserve">: những điểm mà luận án cải tiến hoặc tổ chức mới, kèm lập luận rõ ràng.</w:t>
      </w:r>
    </w:p>
    <w:bookmarkStart w:id="22" w:name="X56424e3208dc91a2885d1c297474f714b95bcea"/>
    <w:p>
      <w:pPr>
        <w:pStyle w:val="Heading2"/>
      </w:pPr>
      <w:r>
        <w:t xml:space="preserve">1. Thiết kế nghiên cứu tổng thể</w:t>
      </w:r>
    </w:p>
    <w:bookmarkStart w:id="20" w:name="X754c796eb9648f308f08c432f0050cd9b94c6c8"/>
    <w:p>
      <w:pPr>
        <w:pStyle w:val="Heading3"/>
      </w:pPr>
      <w:r>
        <w:t xml:space="preserve">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literature để trả lời RQ1, còn phase thứ hai là phân tích thực nghiệm doanh nghiệp đa quốc gia để trả lời RQ2–RQ4. Hai phase đối thoại hai chiều: meta cung cấp baseline và gợi ý moderator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Pacific với</w:t>
      </w:r>
      <w:r>
        <w:t xml:space="preserve"> </w:t>
      </w:r>
      <w:r>
        <w:rPr>
          <w:bCs/>
          <w:b/>
        </w:rPr>
        <w:t xml:space="preserve">47 nền kinh tế</w:t>
      </w:r>
      <w:r>
        <w:t xml:space="preserve"> </w:t>
      </w:r>
      <w:r>
        <w:t xml:space="preserve">là thiết kế hiếm gặp; đa số các luận án IB chỉ làm một trong hai phase. Quy mô 47 nước/101.185 doanh nghiệp là phạm vi địa lý lớn nhất từng có cho khu vực, mở rộng từ pool 17 nước trong Đỗ và Phan (2026 — VEFR).</w:t>
      </w:r>
    </w:p>
    <w:bookmarkEnd w:id="20"/>
    <w:bookmarkStart w:id="21" w:name="X248f0021a5a12709954fcf24a7f49cf9c0e965e"/>
    <w:p>
      <w:pPr>
        <w:pStyle w:val="Heading3"/>
      </w:pPr>
      <w:r>
        <w:t xml:space="preserve">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47 nền kinh tế châu Á và Pacific</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21"/>
    <w:bookmarkEnd w:id="22"/>
    <w:bookmarkStart w:id="26" w:name="Xb099187d4d77291265428c7dacb6385eb4b3527"/>
    <w:p>
      <w:pPr>
        <w:pStyle w:val="Heading2"/>
      </w:pPr>
      <w:r>
        <w:t xml:space="preserve">2. Phase 1: Meta-analysis 1982–2026</w:t>
      </w:r>
    </w:p>
    <w:bookmarkStart w:id="23" w:name="X1551a254f454544efc95505360b4c5c9d00b320"/>
    <w:p>
      <w:pPr>
        <w:pStyle w:val="Heading3"/>
      </w:pPr>
      <w:r>
        <w:t xml:space="preserve">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3"/>
    <w:bookmarkStart w:id="24" w:name="X0c1e6180491331dbef38f8b5cf97fc0ecad3881"/>
    <w:p>
      <w:pPr>
        <w:pStyle w:val="Heading3"/>
      </w:pPr>
      <w:r>
        <w:t xml:space="preserve">2.2 Đóng góp mới/điều chỉnh</w:t>
      </w:r>
    </w:p>
    <w:p>
      <w:pPr>
        <w:numPr>
          <w:ilvl w:val="0"/>
          <w:numId w:val="1002"/>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2"/>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2"/>
        </w:numPr>
        <w:pStyle w:val="Compact"/>
      </w:pPr>
      <w:r>
        <w:rPr>
          <w:bCs/>
          <w:b/>
        </w:rPr>
        <w:t xml:space="preserve">Pool phân tích đã xác minh</w:t>
      </w:r>
      <w:r>
        <w:t xml:space="preserve">: K=288 effect sizes / k=238 nghiên cứu (hand-coded baseline đã xác minh, sau WoS/Scopus screening), tăng đáng kể so với bản nền ICBEF 2025 (K=200 / k=113). Đây là tập dữ liệu đã được mã hóa thủ công và tái lập được toàn bộ bảng/hình trong bản thảo P6.</w:t>
      </w:r>
    </w:p>
    <w:p>
      <w:pPr>
        <w:numPr>
          <w:ilvl w:val="0"/>
          <w:numId w:val="1002"/>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Đỗ và Phan (2026 — VEFR).</w:t>
      </w:r>
    </w:p>
    <w:bookmarkEnd w:id="24"/>
    <w:bookmarkStart w:id="25" w:name="X8ff9d76b57ab4183f46a16fef6b447d1a7ef01d"/>
    <w:p>
      <w:pPr>
        <w:pStyle w:val="Heading3"/>
      </w:pPr>
      <w:r>
        <w:t xml:space="preserve">2.3 Quy trình PRISMA</w:t>
      </w:r>
    </w:p>
    <w:p>
      <w:pPr>
        <w:pStyle w:val="FirstParagraph"/>
      </w:pPr>
      <w:r>
        <w:t xml:space="preserve">Identification → Screening → Eligibility →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5"/>
    <w:bookmarkEnd w:id="26"/>
    <w:bookmarkStart w:id="35" w:name="X6aa474f7b2e6804e45c9b533f4c4995c8a51f0e"/>
    <w:p>
      <w:pPr>
        <w:pStyle w:val="Heading2"/>
      </w:pPr>
      <w:r>
        <w:t xml:space="preserve">3. Phase 2: Multi-country empirical analysis</w:t>
      </w:r>
    </w:p>
    <w:bookmarkStart w:id="27" w:name="X84ced60e62ea90934832891098abf01a4d917e5"/>
    <w:p>
      <w:pPr>
        <w:pStyle w:val="Heading3"/>
      </w:pPr>
      <w:r>
        <w:t xml:space="preserve">3.1 Nguồn dữ liệu</w:t>
      </w:r>
    </w:p>
    <w:p>
      <w:pPr>
        <w:pStyle w:val="FirstParagraph"/>
      </w:pPr>
      <w:r>
        <w:t xml:space="preserve">Luận án sử dụng World Bank Enterprise Surveys cho</w:t>
      </w:r>
      <w:r>
        <w:t xml:space="preserve"> </w:t>
      </w:r>
      <w:r>
        <w:rPr>
          <w:bCs/>
          <w:b/>
        </w:rPr>
        <w:t xml:space="preserve">47 nền kinh tế châu Á và Pacific</w:t>
      </w:r>
      <w:r>
        <w:t xml:space="preserve"> </w:t>
      </w:r>
      <w:r>
        <w:t xml:space="preserve">trong giai đoạn</w:t>
      </w:r>
      <w:r>
        <w:t xml:space="preserve"> </w:t>
      </w:r>
      <w:r>
        <w:rPr>
          <w:bCs/>
          <w:b/>
        </w:rPr>
        <w:t xml:space="preserve">2009–2025</w:t>
      </w:r>
      <w:r>
        <w:t xml:space="preserve"> </w:t>
      </w:r>
      <w:r>
        <w:t xml:space="preserve">(101.185 doanh nghiệp · 108 cặp quốc gia × năm · 14 mốc khảo sát) (World Bank, n.d., 2019, 2023, 2026). WBES là bộ dữ liệu doanh nghiệp chuẩn hóa, phù hợp cho nghiên cứu so sánh đa quốc gia về firm-level outcomes (Aterido et al., 2011).</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(Đỗ &amp; Phan, 2026 — VEFR).</w:t>
      </w:r>
    </w:p>
    <w:p>
      <w:pPr>
        <w:pStyle w:val="BodyText"/>
      </w:pPr>
      <w:r>
        <w:rPr>
          <w:bCs/>
          <w:b/>
        </w:rPr>
        <w:t xml:space="preserve">Đóng góp mới</w:t>
      </w:r>
      <w:r>
        <w:t xml:space="preserve">: mở rộng quy mô từ 17 sang</w:t>
      </w:r>
      <w:r>
        <w:t xml:space="preserve"> </w:t>
      </w:r>
      <w:r>
        <w:rPr>
          <w:bCs/>
          <w:b/>
        </w:rPr>
        <w:t xml:space="preserve">47 nền kinh tế châu Á và Pacific</w:t>
      </w:r>
      <w:r>
        <w:t xml:space="preserve">, với 6 sub-regime ICRV (Advanced innovation-driven, Advanced resource-driven, Upper-middle, Emerging, Frontier, Pacific SIDS). Quy mô này là lớn nhất cho khu vực trong literature internationalization–performance, gồm cả boundary case Pacific SIDS (9 nước, n=1.469 (mẫu phân tích sau lọc missing)) cho phép kiểm định forced internationalization penalty (Đỗ &amp; Phan, 2026 — P8 manuscript).</w:t>
      </w:r>
    </w:p>
    <w:bookmarkEnd w:id="27"/>
    <w:bookmarkStart w:id="28" w:name="X627d9e57359624ba53d60ada46440408c767234"/>
    <w:p>
      <w:pPr>
        <w:pStyle w:val="Heading3"/>
      </w:pPr>
      <w:r>
        <w:t xml:space="preserve">3.2 Đo lường biến phụ thuộc —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literature về firm productivity (Bloom et al., 2012; Hsieh &amp; Klenow, 2009). Chỉ tiêu này đã được vận hành hóa thành công trong bài thực trạng emerging Asia (Đỗ &amp; Phan, 2026 — VEFR).</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có tính so sánh xuyên quốc gia cao hơn do không bị ảnh hưởng bởi chuẩn mực kế toán khác biệt (Combs et al., 2005; Richard et al., 2009).</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28"/>
    <w:bookmarkStart w:id="29" w:name="X15f8964cdacf2e18287cd2f7dddc106f078f343"/>
    <w:p>
      <w:pPr>
        <w:pStyle w:val="Heading3"/>
      </w:pPr>
      <w:r>
        <w:t xml:space="preserve">3.3 Đo lường biến độc lập — Quốc tế hóa</w:t>
      </w:r>
    </w:p>
    <w:p>
      <w:pPr>
        <w:pStyle w:val="FirstParagraph"/>
      </w:pPr>
      <w:r>
        <w:rPr>
          <w:bCs/>
          <w:b/>
        </w:rPr>
        <w:t xml:space="preserve">Biến chính</w:t>
      </w:r>
      <w:r>
        <w:t xml:space="preserve">: Foreign Sales To Total Sales (FSTS), đo bằng tỷ lệ doanh số quốc tế trên tổng doanh số.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literature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Đỗ và Phan (2026 — JFAR) xác nhận có ý nghĩa thống kê ở Trung Quốc với turning point ~47,8% FSTS, làm baseline cho việc kiểm định mở rộng trong luận án.</w:t>
      </w:r>
    </w:p>
    <w:bookmarkEnd w:id="29"/>
    <w:bookmarkStart w:id="33" w:name="Xdd2644898f5d54c5cc66b5de84b6ed843e574dc"/>
    <w:p>
      <w:pPr>
        <w:pStyle w:val="Heading3"/>
      </w:pPr>
      <w:r>
        <w:t xml:space="preserve">3.4 Đo lường biến điều tiết</w:t>
      </w:r>
    </w:p>
    <w:bookmarkStart w:id="30" w:name="Xc9447eee4507cc41fc1bfd78b7a464443ed9908"/>
    <w:p>
      <w:pPr>
        <w:pStyle w:val="Heading4"/>
      </w:pPr>
      <w:r>
        <w:t xml:space="preserve">3.4.1 Digital constructs (TCI và DAI)</w:t>
      </w:r>
    </w:p>
    <w:p>
      <w:pPr>
        <w:pStyle w:val="FirstParagraph"/>
      </w:pPr>
      <w:r>
        <w:t xml:space="preserve">Luận án phân biệt rõ hai construct:</w:t>
      </w:r>
    </w:p>
    <w:p>
      <w:pPr>
        <w:numPr>
          <w:ilvl w:val="0"/>
          <w:numId w:val="1003"/>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3"/>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 "digital shield effect" được Đỗ và Phan (2026 — VEFR)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47 nền kinh tế châu Á và Pacific, với pipeline hòa hợp 3 thế hệ schema. Phân tách TCI và DAI theo (i) Bharadwaj et al. (2013) — IT capability vs digital business strategy có nomological nets khác nhau; (ii) phân tầng 3 cấp của Verhoef et al. (2021) —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 đảm bảo TCI và DAI là hai composite độc lập.</w:t>
      </w:r>
    </w:p>
    <w:bookmarkEnd w:id="30"/>
    <w:bookmarkStart w:id="31" w:name="X675dba3bc66f04bdb35ea3e98db6777f7453517"/>
    <w:p>
      <w:pPr>
        <w:pStyle w:val="Heading4"/>
      </w:pPr>
      <w:r>
        <w:t xml:space="preserve">3.4.2 Institutional variables</w:t>
      </w:r>
    </w:p>
    <w:p>
      <w:pPr>
        <w:pStyle w:val="FirstParagraph"/>
      </w:pPr>
      <w:r>
        <w:rPr>
          <w:bCs/>
          <w:b/>
        </w:rPr>
        <w:t xml:space="preserve">Biến chính</w:t>
      </w:r>
      <w:r>
        <w:t xml:space="preserve">: business obstacle index (tổng hợp từ các câu hỏi WBES về obstacles), country-level governance proxies (WGI Rule of Law,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bookmarkEnd w:id="31"/>
    <w:bookmarkStart w:id="32" w:name="Xafb7051784bd2190b9c0ec64eb794b969a7e6b4"/>
    <w:p>
      <w:pPr>
        <w:pStyle w:val="Heading4"/>
      </w:pPr>
      <w:r>
        <w:t xml:space="preserve">3.4.3 Top manager characteristics</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32"/>
    <w:bookmarkEnd w:id="33"/>
    <w:bookmarkStart w:id="34" w:name="X47e64c38922de9c9938d7912558eba6c86d3a28"/>
    <w:p>
      <w:pPr>
        <w:pStyle w:val="Heading3"/>
      </w:pPr>
      <w:r>
        <w:t xml:space="preserve">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34"/>
    <w:bookmarkEnd w:id="35"/>
    <w:bookmarkStart w:id="49" w:name="X739c39ba72bd4ab9a65ae6cfaca8e78ae4b0f0d"/>
    <w:p>
      <w:pPr>
        <w:pStyle w:val="Heading2"/>
      </w:pPr>
      <w:r>
        <w:t xml:space="preserve">4. Mô hình phân tích</w:t>
      </w:r>
    </w:p>
    <w:bookmarkStart w:id="36" w:name="X4c78f5166bf22e57c1f525071727cb59025b68d"/>
    <w:p>
      <w:pPr>
        <w:pStyle w:val="Heading3"/>
      </w:pPr>
      <w:r>
        <w:t xml:space="preserve">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36"/>
    <w:bookmarkStart w:id="37" w:name="X27365d5351c4f2028e401b959ec157ce9c1b5c2"/>
    <w:p>
      <w:pPr>
        <w:pStyle w:val="Heading3"/>
      </w:pPr>
      <w:r>
        <w:t xml:space="preserve">4.2 Mô hình empirical —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37"/>
    <w:bookmarkStart w:id="38" w:name="Xe9bba9a80ef10577157c3d15edb876549972c2d"/>
    <w:p>
      <w:pPr>
        <w:pStyle w:val="Heading3"/>
      </w:pPr>
      <w:r>
        <w:t xml:space="preserve">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w:t>
      </w:r>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Đỗ và Phan (2026 — JFAR)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38"/>
    <w:bookmarkStart w:id="41" w:name="X51b5e48835a9a5e2281d2341b4476bdb9f6a4ee"/>
    <w:p>
      <w:pPr>
        <w:pStyle w:val="Heading3"/>
      </w:pPr>
      <w:r>
        <w:t xml:space="preserve">4.4 Mô hình moderation (H2–H6)</w:t>
      </w:r>
    </w:p>
    <w:bookmarkStart w:id="39"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bookmarkEnd w:id="39"/>
    <w:bookmarkStart w:id="40"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47 nước chưa được kiểm định trước đây.</w:t>
      </w:r>
    </w:p>
    <w:bookmarkEnd w:id="40"/>
    <w:bookmarkEnd w:id="41"/>
    <w:bookmarkStart w:id="42" w:name="Xb324e1905a61cd1592d7ebf92cf5cd7957d9e09"/>
    <w:p>
      <w:pPr>
        <w:pStyle w:val="Heading3"/>
      </w:pPr>
      <w:r>
        <w:t xml:space="preserve">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Đỗ và Phan (2026 — JFAR)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42"/>
    <w:bookmarkStart w:id="43" w:name="Xb935b07a7139bdf4772bb962fde35bc1f7deef3"/>
    <w:p>
      <w:pPr>
        <w:pStyle w:val="Heading3"/>
      </w:pPr>
      <w:r>
        <w:t xml:space="preserve">4.5.1 Mô hình cụ thể —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4"/>
        </w:numPr>
        <w:pStyle w:val="Compact"/>
      </w:pPr>
      <w:r>
        <w:rPr>
          <w:bCs/>
          <w:b/>
        </w:rPr>
        <w:t xml:space="preserve">lnNSLD_it</w:t>
      </w:r>
      <w:r>
        <w:t xml:space="preserve"> </w:t>
      </w:r>
      <w:r>
        <w:t xml:space="preserve">= lnLP_it: log năng suất lao động (ln doanh thu PPP / lao động thường xuyên)</w:t>
      </w:r>
    </w:p>
    <w:p>
      <w:pPr>
        <w:numPr>
          <w:ilvl w:val="0"/>
          <w:numId w:val="1004"/>
        </w:numPr>
        <w:pStyle w:val="Compact"/>
      </w:pPr>
      <w:r>
        <w:rPr>
          <w:bCs/>
          <w:b/>
        </w:rPr>
        <w:t xml:space="preserve">CDDXK_c_it</w:t>
      </w:r>
      <w:r>
        <w:t xml:space="preserve"> </w:t>
      </w:r>
      <w:r>
        <w:t xml:space="preserve">= FSTS_c_it: cường độ quốc tế hóa điều chỉnh trung bình trong sóng (mean-centred)</w:t>
      </w:r>
    </w:p>
    <w:p>
      <w:pPr>
        <w:numPr>
          <w:ilvl w:val="0"/>
          <w:numId w:val="1004"/>
        </w:numPr>
        <w:pStyle w:val="Compact"/>
      </w:pPr>
      <w:r>
        <w:rPr>
          <w:bCs/>
          <w:b/>
        </w:rPr>
        <w:t xml:space="preserve">CDDXK_c²_it</w:t>
      </w:r>
      <w:r>
        <w:t xml:space="preserve"> </w:t>
      </w:r>
      <w:r>
        <w:t xml:space="preserve">= FSTS_c²_it: bình phương cường độ quốc tế hóa điều chỉnh</w:t>
      </w:r>
    </w:p>
    <w:p>
      <w:pPr>
        <w:numPr>
          <w:ilvl w:val="0"/>
          <w:numId w:val="1004"/>
        </w:numPr>
        <w:pStyle w:val="Compact"/>
      </w:pPr>
      <w:r>
        <w:rPr>
          <w:bCs/>
          <w:b/>
        </w:rPr>
        <w:t xml:space="preserve">NLCN_z_it</w:t>
      </w:r>
      <w:r>
        <w:t xml:space="preserve"> </w:t>
      </w:r>
      <w:r>
        <w:t xml:space="preserve">= TCI_z_it: năng lực công nghệ (chuẩn hoá z trong sóng)</w:t>
      </w:r>
    </w:p>
    <w:p>
      <w:pPr>
        <w:numPr>
          <w:ilvl w:val="0"/>
          <w:numId w:val="1004"/>
        </w:numPr>
        <w:pStyle w:val="Compact"/>
      </w:pPr>
      <w:r>
        <w:rPr>
          <w:bCs/>
          <w:b/>
        </w:rPr>
        <w:t xml:space="preserve">CSS_z_it</w:t>
      </w:r>
      <w:r>
        <w:t xml:space="preserve"> </w:t>
      </w:r>
      <w:r>
        <w:t xml:space="preserve">= DAI_z_it: chỉ số số hoá cơ sở — Tier-1 (chuẩn hoá z trong sóng)</w:t>
      </w:r>
    </w:p>
    <w:p>
      <w:pPr>
        <w:numPr>
          <w:ilvl w:val="0"/>
          <w:numId w:val="1004"/>
        </w:numPr>
        <w:pStyle w:val="Compact"/>
      </w:pPr>
      <w:r>
        <w:rPr>
          <w:bCs/>
          <w:b/>
        </w:rPr>
        <w:t xml:space="preserve">lnLD, TuoiDN, SoHuuNuocNgoai</w:t>
      </w:r>
      <w:r>
        <w:t xml:space="preserve">: kiểm soát quy mô, tuổi, sở hữu</w:t>
      </w:r>
    </w:p>
    <w:p>
      <w:pPr>
        <w:numPr>
          <w:ilvl w:val="0"/>
          <w:numId w:val="1004"/>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 Quốc tế hoá phi tuyến (kiểm định H1 — inverted-U):</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 Điều tiết CSS/DAI (H4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 Nghiên cứu 3 (Việt Nam):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quốc tế hóa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(H4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43"/>
    <w:bookmarkStart w:id="44" w:name="X1a84e23bcffcf0b809a67054bf546d98a0649dd"/>
    <w:p>
      <w:pPr>
        <w:pStyle w:val="Heading3"/>
      </w:pPr>
      <w:r>
        <w:t xml:space="preserve">4.5.2 Mô hình cụ thể —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5"/>
        </w:numPr>
        <w:pStyle w:val="Compact"/>
      </w:pPr>
      <w:r>
        <w:rPr>
          <w:bCs/>
          <w:b/>
        </w:rPr>
        <w:t xml:space="preserve">lnNSLD_i</w:t>
      </w:r>
      <w:r>
        <w:t xml:space="preserve"> </w:t>
      </w:r>
      <w:r>
        <w:t xml:space="preserve">= lnLP_i: log năng suất lao động (ln doanh thu PPP / lao động thường xuyên)</w:t>
      </w:r>
    </w:p>
    <w:p>
      <w:pPr>
        <w:numPr>
          <w:ilvl w:val="0"/>
          <w:numId w:val="1005"/>
        </w:numPr>
        <w:pStyle w:val="Compact"/>
      </w:pPr>
      <w:r>
        <w:rPr>
          <w:bCs/>
          <w:b/>
        </w:rPr>
        <w:t xml:space="preserve">CDDXK_i</w:t>
      </w:r>
      <w:r>
        <w:t xml:space="preserve"> </w:t>
      </w:r>
      <w:r>
        <w:t xml:space="preserve">= FSTS_i: cường độ quốc tế hóa trực tiếp (d3c / 100)</w:t>
      </w:r>
    </w:p>
    <w:p>
      <w:pPr>
        <w:numPr>
          <w:ilvl w:val="0"/>
          <w:numId w:val="1005"/>
        </w:numPr>
        <w:pStyle w:val="Compact"/>
      </w:pPr>
      <w:r>
        <w:rPr>
          <w:bCs/>
          <w:b/>
        </w:rPr>
        <w:t xml:space="preserve">CDDXK_c_i</w:t>
      </w:r>
      <w:r>
        <w:t xml:space="preserve"> </w:t>
      </w:r>
      <w:r>
        <w:t xml:space="preserve">= FSTS_c_i: CDDXK trung bình mẫu; CDDXK_c² là bình phương</w:t>
      </w:r>
    </w:p>
    <w:p>
      <w:pPr>
        <w:numPr>
          <w:ilvl w:val="0"/>
          <w:numId w:val="1005"/>
        </w:numPr>
        <w:pStyle w:val="Compact"/>
      </w:pPr>
      <w:r>
        <w:rPr>
          <w:bCs/>
          <w:b/>
        </w:rPr>
        <w:t xml:space="preserve">NLCN_z_i</w:t>
      </w:r>
      <w:r>
        <w:t xml:space="preserve"> </w:t>
      </w:r>
      <w:r>
        <w:t xml:space="preserve">= TCI_z_i: năng lực công nghệ — z-std của trung bình(b8₀₁, e6₀₁)</w:t>
      </w:r>
    </w:p>
    <w:p>
      <w:pPr>
        <w:numPr>
          <w:ilvl w:val="0"/>
          <w:numId w:val="1005"/>
        </w:numPr>
        <w:pStyle w:val="Compact"/>
      </w:pPr>
      <w:r>
        <w:rPr>
          <w:bCs/>
          <w:b/>
        </w:rPr>
        <w:t xml:space="preserve">CSS_z_i</w:t>
      </w:r>
      <w:r>
        <w:t xml:space="preserve"> </w:t>
      </w:r>
      <w:r>
        <w:t xml:space="preserve">= DAI_z_i: chỉ số số hoá</w:t>
      </w:r>
      <w:r>
        <w:t xml:space="preserve"> </w:t>
      </w:r>
      <w:r>
        <w:rPr>
          <w:bCs/>
          <w:b/>
        </w:rPr>
        <w:t xml:space="preserve">Tier-1+2</w:t>
      </w:r>
      <w:r>
        <w:t xml:space="preserve"> </w:t>
      </w:r>
      <w:r>
        <w:t xml:space="preserve">— z-std của trung bình(c22b₀₁, k33₀₁, k38₀₁); khác P3 ở chỗ bao gồm e-payment hai chiều (Tier-2)</w:t>
      </w:r>
    </w:p>
    <w:p>
      <w:pPr>
        <w:numPr>
          <w:ilvl w:val="0"/>
          <w:numId w:val="1005"/>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5"/>
        </w:numPr>
        <w:pStyle w:val="Compact"/>
      </w:pPr>
      <w:r>
        <w:rPr>
          <w:bCs/>
          <w:b/>
        </w:rPr>
        <w:t xml:space="preserve">δ_s</w:t>
      </w:r>
      <w:r>
        <w:t xml:space="preserve">: sector fixed effects (ISIC 1-chữ số)</w:t>
      </w:r>
    </w:p>
    <w:p>
      <w:pPr>
        <w:numPr>
          <w:ilvl w:val="0"/>
          <w:numId w:val="1005"/>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 kiểm định H1):</w:t>
      </w:r>
      <w:r>
        <w:t xml:space="preserve"> </w:t>
      </w:r>
      <w:r>
        <w:t xml:space="preserve">lnNSLD_i = α + β₁ CDDXK_c_i + β₂ CDDXK_c²_i + γ·X_i + δ_s + ε_i</w:t>
      </w:r>
      <w:r>
        <w:t xml:space="preserve"> </w:t>
      </w:r>
      <w:r>
        <w:t xml:space="preserve">H1: β₁ &gt; 0, β₂ &lt; 0; TP* = −β₁/(2β₂) ≈ 82% FSTS [CI bootstrap [53%, 253%]]</w:t>
      </w:r>
      <w:r>
        <w:t xml:space="preserve"> </w:t>
      </w:r>
      <w:r>
        <w:t xml:space="preserve">Lưu ý: Lind–Mehlum p = 0,303 — không bác bỏ tuyến tính trong phạm vi dữ liệu quan sát; đây là kết quả thông tin tích cực theo khung bão hòa (saturation framework)</w:t>
      </w:r>
    </w:p>
    <w:p>
      <w:pPr>
        <w:pStyle w:val="BlockText"/>
      </w:pPr>
      <w:r>
        <w:t xml:space="preserve">M3 (+ NLCN —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 DAI khuếch đại lợi nhuận I→P ở cường độ quốc tế hóa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 Nghiên cứu 4 (Singapore):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 —</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4"/>
    <w:bookmarkStart w:id="45" w:name="X9ef80487c12e0f5dad14bc0925ba05bca166c52"/>
    <w:p>
      <w:pPr>
        <w:pStyle w:val="Heading3"/>
      </w:pPr>
      <w:r>
        <w:t xml:space="preserve">4.5.3 Mô hình cụ thể —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 "panel core" được sử dụng cho cluster-robust SE). Ký hiệu tiếng Việt:</w:t>
      </w:r>
    </w:p>
    <w:p>
      <w:pPr>
        <w:numPr>
          <w:ilvl w:val="0"/>
          <w:numId w:val="1006"/>
        </w:numPr>
        <w:pStyle w:val="Compact"/>
      </w:pPr>
      <w:r>
        <w:rPr>
          <w:bCs/>
          <w:b/>
        </w:rPr>
        <w:t xml:space="preserve">lnNSLD_it</w:t>
      </w:r>
      <w:r>
        <w:t xml:space="preserve"> </w:t>
      </w:r>
      <w:r>
        <w:t xml:space="preserve">= lnLP_it: log năng suất lao động (biến phụ thuộc)</w:t>
      </w:r>
    </w:p>
    <w:p>
      <w:pPr>
        <w:numPr>
          <w:ilvl w:val="0"/>
          <w:numId w:val="1006"/>
        </w:numPr>
        <w:pStyle w:val="Compact"/>
      </w:pPr>
      <w:r>
        <w:rPr>
          <w:bCs/>
          <w:b/>
        </w:rPr>
        <w:t xml:space="preserve">CDDXK_c_it</w:t>
      </w:r>
      <w:r>
        <w:t xml:space="preserve"> </w:t>
      </w:r>
      <w:r>
        <w:t xml:space="preserve">= FSTS_c_it: cường độ quốc tế hóa centred theo trung bình sóng</w:t>
      </w:r>
    </w:p>
    <w:p>
      <w:pPr>
        <w:numPr>
          <w:ilvl w:val="0"/>
          <w:numId w:val="1006"/>
        </w:numPr>
        <w:pStyle w:val="Compact"/>
      </w:pPr>
      <w:r>
        <w:rPr>
          <w:bCs/>
          <w:b/>
        </w:rPr>
        <w:t xml:space="preserve">NLCN_z_it</w:t>
      </w:r>
      <w:r>
        <w:t xml:space="preserve"> </w:t>
      </w:r>
      <w:r>
        <w:t xml:space="preserve">= TCI_full_z_it: năng lực công nghệ toàn diện — z-std của TB(b8₀₁, e6₀₁, b4₀₁, b7a₀₁); mở rộng hơn P3</w:t>
      </w:r>
    </w:p>
    <w:p>
      <w:pPr>
        <w:numPr>
          <w:ilvl w:val="0"/>
          <w:numId w:val="1006"/>
        </w:numPr>
        <w:pStyle w:val="Compact"/>
      </w:pPr>
      <w:r>
        <w:rPr>
          <w:bCs/>
          <w:b/>
        </w:rPr>
        <w:t xml:space="preserve">CSS_z_it</w:t>
      </w:r>
      <w:r>
        <w:t xml:space="preserve"> </w:t>
      </w:r>
      <w:r>
        <w:t xml:space="preserve">= DAI_core_it: chỉ số số hoá cơ bản — chỉ c22b₀₁ (Tier-1 mỏng, single-item binary)</w:t>
      </w:r>
    </w:p>
    <w:p>
      <w:pPr>
        <w:numPr>
          <w:ilvl w:val="0"/>
          <w:numId w:val="1006"/>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6"/>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 kiểm định H1):</w:t>
      </w:r>
      <w:r>
        <w:t xml:space="preserve"> </w:t>
      </w:r>
      <w:r>
        <w:t xml:space="preserve">lnNSLD_it = α + β₁ CDDXK_c_it + β₂ CDDXK_c²_it + γ·X_it + δ_s + λ_t + ε_it</w:t>
      </w:r>
      <w:r>
        <w:t xml:space="preserve"> </w:t>
      </w:r>
      <w:r>
        <w:t xml:space="preserve">H1: β₁ &gt; 0, β₂ &lt; 0; TP* = −β₁/(2β₂) — điểm ngưỡng 49,4% (2012), 47,2% (2024), và 48,8% (pooled)</w:t>
      </w:r>
      <w:r>
        <w:t xml:space="preserve"> </w:t>
      </w:r>
      <w:r>
        <w:t xml:space="preserve">Kiểm định ổn định cấu trúc: Paternoster (1998) z-test: z(FSTS) = +0,82 (p = 0,412); z(FSTS²) = −0,61 (p = 0,545) → không bác bỏ bình đẳng hệ số giữa hai sóng</w:t>
      </w:r>
    </w:p>
    <w:p>
      <w:pPr>
        <w:pStyle w:val="BlockText"/>
      </w:pPr>
      <w:r>
        <w:t xml:space="preserve">M3 (+ NLCN trực tiếp — H2 level-shift):</w:t>
      </w:r>
      <w:r>
        <w:t xml:space="preserve"> </w:t>
      </w:r>
      <w:r>
        <w:t xml:space="preserve">lnNSLD_it = α + β₁ CDDXK_c + β₂ CDDXK_c² + β₃ NLCN_z + γ·X + δ_s + λ_t + ε</w:t>
      </w:r>
      <w:r>
        <w:t xml:space="preserve"> </w:t>
      </w:r>
      <w:r>
        <w:t xml:space="preserve">Kết quả: β₃ = +0,28 (2012, p &lt; 0,001), +0,43 (2024, p &lt; 0,001) — TCI là "bộ tăng mức" (level-shifter),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 tương tự cho β₂ (FSTS²)</w:t>
      </w:r>
    </w:p>
    <w:p>
      <w:pPr>
        <w:pStyle w:val="BlockText"/>
      </w:pPr>
      <w:r>
        <w:t xml:space="preserve">M6 (Điều tiết ba chiều —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 H4b (null capability-curvature moderation) được chấp nhận</w:t>
      </w:r>
    </w:p>
    <w:p>
      <w:pPr>
        <w:pStyle w:val="FirstParagraph"/>
      </w:pPr>
      <w:r>
        <w:rPr>
          <w:bCs/>
          <w:b/>
        </w:rPr>
        <w:t xml:space="preserve">Bảng định nghĩa biến — Nghiên cứu 5 (Trung Quốc):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 —</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("panel core") tạo thêm nhận dạng biến thiên trong mẫu trong khi clustered SE theo idstd xử lý tương quan nội nhóm. DAI Trung Quốc chỉ là Tier-1 đơn biến — không đủ để kiểm định CDCM; hàm ý chính sách và lý thuyết khác với P4 Singapore (Tier-1+2).</w:t>
      </w:r>
    </w:p>
    <w:p>
      <w:r>
        <w:pict>
          <v:rect style="width:0;height:1.5pt" o:hralign="center" o:hrstd="t" o:hr="t"/>
        </w:pict>
      </w:r>
    </w:p>
    <w:bookmarkEnd w:id="45"/>
    <w:bookmarkStart w:id="46" w:name="X4e8b67ecad9724beebae0d23d08617f128f911b"/>
    <w:p>
      <w:pPr>
        <w:pStyle w:val="Heading3"/>
      </w:pPr>
      <w:r>
        <w:t xml:space="preserve">4.5.4 Mô hình cụ thể —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(102 cặp quốc gia × năm, 2003–2025). Mẫu phân tích toàn phần đạt N = 84.910 (M0–M2) đến N = 29.840 (M11 full). Thiết kế hierarchical OLS với HC1 robust standard errors, clustered theo country-year. Ký hiệu tiếng Việt:</w:t>
      </w:r>
    </w:p>
    <w:p>
      <w:pPr>
        <w:numPr>
          <w:ilvl w:val="0"/>
          <w:numId w:val="1007"/>
        </w:numPr>
        <w:pStyle w:val="Compact"/>
      </w:pPr>
      <w:r>
        <w:rPr>
          <w:bCs/>
          <w:b/>
        </w:rPr>
        <w:t xml:space="preserve">lnNSLD_it</w:t>
      </w:r>
      <w:r>
        <w:t xml:space="preserve">: ln(năng suất lao động) = ln(doanh thu / lao động thường trực) — biến phụ thuộc</w:t>
      </w:r>
    </w:p>
    <w:p>
      <w:pPr>
        <w:numPr>
          <w:ilvl w:val="0"/>
          <w:numId w:val="1007"/>
        </w:numPr>
        <w:pStyle w:val="Compact"/>
      </w:pPr>
      <w:r>
        <w:rPr>
          <w:bCs/>
          <w:b/>
        </w:rPr>
        <w:t xml:space="preserve">CDDXK_c_it</w:t>
      </w:r>
      <w:r>
        <w:t xml:space="preserve">: cường độ quốc tế hóa mean-centred — FSTS_c = (d3c/100) − mean_pool(FSTS)</w:t>
      </w:r>
    </w:p>
    <w:p>
      <w:pPr>
        <w:numPr>
          <w:ilvl w:val="0"/>
          <w:numId w:val="1007"/>
        </w:numPr>
        <w:pStyle w:val="Compact"/>
      </w:pPr>
      <w:r>
        <w:rPr>
          <w:bCs/>
          <w:b/>
        </w:rPr>
        <w:t xml:space="preserve">CDDXK_c²_it</w:t>
      </w:r>
      <w:r>
        <w:t xml:space="preserve">: CDDXK_c bình phương — kiểm định phi tuyến</w:t>
      </w:r>
    </w:p>
    <w:p>
      <w:pPr>
        <w:numPr>
          <w:ilvl w:val="0"/>
          <w:numId w:val="1007"/>
        </w:numPr>
        <w:pStyle w:val="Compact"/>
      </w:pPr>
      <w:r>
        <w:rPr>
          <w:bCs/>
          <w:b/>
        </w:rPr>
        <w:t xml:space="preserve">NLCN_z_it</w:t>
      </w:r>
      <w:r>
        <w:t xml:space="preserve">: năng lực công nghệ z-standardised — TCI_z = z-std(b8, e6)</w:t>
      </w:r>
    </w:p>
    <w:p>
      <w:pPr>
        <w:numPr>
          <w:ilvl w:val="0"/>
          <w:numId w:val="1007"/>
        </w:numPr>
        <w:pStyle w:val="Compact"/>
      </w:pPr>
      <w:r>
        <w:rPr>
          <w:bCs/>
          <w:b/>
        </w:rPr>
        <w:t xml:space="preserve">CSS_z_it</w:t>
      </w:r>
      <w:r>
        <w:t xml:space="preserve">: chỉ số số hoá z-standardised — DAI_z = z-std(website + e-pay, Tier 1+2: c22b/e1, k33)</w:t>
      </w:r>
    </w:p>
    <w:p>
      <w:pPr>
        <w:numPr>
          <w:ilvl w:val="0"/>
          <w:numId w:val="1007"/>
        </w:numPr>
        <w:pStyle w:val="Compact"/>
      </w:pPr>
      <w:r>
        <w:rPr>
          <w:bCs/>
          <w:b/>
        </w:rPr>
        <w:t xml:space="preserve">KNQLy_it</w:t>
      </w:r>
      <w:r>
        <w:t xml:space="preserve">: kinh nghiệm nhà quản lý trong ngành (năm, b7)</w:t>
      </w:r>
    </w:p>
    <w:p>
      <w:pPr>
        <w:numPr>
          <w:ilvl w:val="0"/>
          <w:numId w:val="1007"/>
        </w:numPr>
        <w:pStyle w:val="Compact"/>
      </w:pPr>
      <w:r>
        <w:rPr>
          <w:bCs/>
          <w:b/>
        </w:rPr>
        <w:t xml:space="preserve">NQL_nu_it</w:t>
      </w:r>
      <w:r>
        <w:t xml:space="preserve">: top manager là nữ (binary, b7a/b6a)</w:t>
      </w:r>
    </w:p>
    <w:p>
      <w:pPr>
        <w:numPr>
          <w:ilvl w:val="0"/>
          <w:numId w:val="1007"/>
        </w:numPr>
        <w:pStyle w:val="Compact"/>
      </w:pPr>
      <w:r>
        <w:rPr>
          <w:bCs/>
          <w:b/>
        </w:rPr>
        <w:t xml:space="preserve">ICRV_j</w:t>
      </w:r>
      <w:r>
        <w:t xml:space="preserve">: phân loại chế độ thể chế ICRV (integer 1–6, Advanced→SIDS)</w:t>
      </w:r>
    </w:p>
    <w:p>
      <w:pPr>
        <w:numPr>
          <w:ilvl w:val="0"/>
          <w:numId w:val="1007"/>
        </w:numPr>
        <w:pStyle w:val="Compact"/>
      </w:pPr>
      <w:r>
        <w:rPr>
          <w:bCs/>
          <w:b/>
        </w:rPr>
        <w:t xml:space="preserve">lnLD_it</w:t>
      </w:r>
      <w:r>
        <w:t xml:space="preserve">: ln(lao động thường trực) — kiểm soát quy mô doanh nghiệp</w:t>
      </w:r>
    </w:p>
    <w:p>
      <w:pPr>
        <w:numPr>
          <w:ilvl w:val="0"/>
          <w:numId w:val="1007"/>
        </w:numPr>
        <w:pStyle w:val="Compact"/>
      </w:pPr>
      <w:r>
        <w:rPr>
          <w:bCs/>
          <w:b/>
        </w:rPr>
        <w:t xml:space="preserve">TuoiDN_it</w:t>
      </w:r>
      <w:r>
        <w:t xml:space="preserve">: tuổi doanh nghiệp (năm_khảo_sát − b5)</w:t>
      </w:r>
    </w:p>
    <w:p>
      <w:pPr>
        <w:numPr>
          <w:ilvl w:val="0"/>
          <w:numId w:val="1007"/>
        </w:numPr>
        <w:pStyle w:val="Compact"/>
      </w:pPr>
      <w:r>
        <w:rPr>
          <w:bCs/>
          <w:b/>
        </w:rPr>
        <w:t xml:space="preserve">SoHuuNN_it</w:t>
      </w:r>
      <w:r>
        <w:t xml:space="preserve">: tỷ lệ sở hữu nước ngoài (b6a/100)</w:t>
      </w:r>
    </w:p>
    <w:p>
      <w:pPr>
        <w:numPr>
          <w:ilvl w:val="0"/>
          <w:numId w:val="1007"/>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(top manager nữ: lợi thế hiệu quả  17–20%cross-context)</m:t>
          </m:r>
        </m:oMath>
      </m:oMathPara>
    </w:p>
    <w:p>
      <w:pPr>
        <w:pStyle w:val="FirstParagraph"/>
      </w:pPr>
      <w:r>
        <w:rPr>
          <w:bCs/>
          <w:b/>
        </w:rPr>
        <w:t xml:space="preserve">M10</w:t>
      </w:r>
      <w:r>
        <w:t xml:space="preserve"> </w:t>
      </w:r>
      <w:r>
        <w:t xml:space="preserve">(M3 + điều tiết ICRV —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 kiểm định H7-P7):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 Nghiên cứu 7 (đa quốc gia)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dần từ N = 84.910 (M2) → 38.342 (M3, thêm kiểm soát) → 29.840 (M11, thêm manager + ICRV + three-way). DAI P7 là Tier 1+2 khi k33 có mặt, Tier-1 only khi thiếu — khác với P3 Vietnam (Tier-1 only) và đồng nhất với P4 Singapore (Tier-1+2). ICRV là biến điều tiết liên tục (integer), không phải dummies, nhằm giữ N đủ lớn trong M10–M11.</w:t>
      </w:r>
    </w:p>
    <w:bookmarkEnd w:id="46"/>
    <w:bookmarkStart w:id="47" w:name="Xedb6f4dc9b49a0f3b96ee48ef2b76553c0f737a"/>
    <w:p>
      <w:pPr>
        <w:pStyle w:val="Heading3"/>
      </w:pPr>
      <w:r>
        <w:t xml:space="preserve">4.5.5 Mô hình cụ thể — Nghiên cứu 8 (Pacific SIDS, WBES 2009–2025)</w:t>
      </w:r>
    </w:p>
    <w:p>
      <w:pPr>
        <w:pStyle w:val="FirstParagraph"/>
      </w:pPr>
      <w:r>
        <w:rPr>
          <w:bCs/>
          <w:b/>
        </w:rPr>
        <w:t xml:space="preserve">Bối cảnh</w:t>
      </w:r>
      <w:r>
        <w:t xml:space="preserve">: 9 nền kinh tế Pacific SIDS (Fiji, Kiribati, Papua New Guinea, Samoa, Solomon Islands, Timor-Leste, Tonga, Vanuatu, Comoros), N = 1.469 doanh nghiệp (mẫu phân tích sau lọc missing lnNSLD và CDDXK), trong đó 187 nhà xuất khẩu (12,7%). Phân loại ICRV Regime IV/V (Frontier + Pacific SIDS).</w:t>
      </w:r>
    </w:p>
    <w:p>
      <w:pPr>
        <w:pStyle w:val="BodyText"/>
      </w:pPr>
      <w:r>
        <w:rPr>
          <w:bCs/>
          <w:b/>
        </w:rPr>
        <w:t xml:space="preserve">Ký hiệu tiếng Việt — Nghiên cứu 8</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ln(d2/l1): ln(doanh thu PPP/lao động)</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Cường độ quốc tế hóa (FSTS)</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bình_wave(CDDXK): trung tâm hóa</w:t>
            </w:r>
          </w:p>
        </w:tc>
        <w:tc>
          <w:tcPr/>
          <w:p>
            <w:pPr>
              <w:pStyle w:val="Compact"/>
              <w:jc w:val="left"/>
            </w:pPr>
            <w:r>
              <w:t xml:space="preserve">Biến độc lập chính</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z-std(mean(b8, e6)): chứng nhận + công nghệ nước ngoài</w:t>
            </w:r>
          </w:p>
        </w:tc>
        <w:tc>
          <w:tcPr/>
          <w:p>
            <w:pPr>
              <w:pStyle w:val="Compact"/>
              <w:jc w:val="left"/>
            </w:pPr>
            <w:r>
              <w:t xml:space="preserve">Năng lực công nghệ (TCI)</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z-std(c22b): website (Tier-1 proxy, static)</w:t>
            </w:r>
          </w:p>
        </w:tc>
        <w:tc>
          <w:tcPr/>
          <w:p>
            <w:pPr>
              <w:pStyle w:val="Compact"/>
              <w:jc w:val="left"/>
            </w:pPr>
            <w:r>
              <w:t xml:space="preserve">Chỉ số số hoá (DAI, Tier-1)</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 DN)</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tỷ lệ sở hữu nước ngoài (%)</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w:t>
            </w:r>
          </w:p>
        </w:tc>
        <w:tc>
          <w:tcPr/>
          <w:p>
            <w:pPr>
              <w:pStyle w:val="Compact"/>
              <w:jc w:val="left"/>
            </w:pPr>
            <w:r>
              <w:t xml:space="preserve">country fixed effects</w:t>
            </w:r>
          </w:p>
        </w:tc>
        <w:tc>
          <w:tcPr/>
          <w:p>
            <w:pPr>
              <w:pStyle w:val="Compact"/>
              <w:jc w:val="left"/>
            </w:pPr>
            <w:r>
              <w:t xml:space="preserve">FE quốc gia</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w:t>
            </w:r>
          </w:p>
        </w:tc>
        <w:tc>
          <w:tcPr/>
          <w:p>
            <w:pPr>
              <w:pStyle w:val="Compact"/>
              <w:jc w:val="left"/>
            </w:pPr>
            <w:r>
              <w:t xml:space="preserve">FE năm khảo sát</w:t>
            </w:r>
          </w:p>
        </w:tc>
      </w:tr>
    </w:tbl>
    <w:p>
      <w:pPr>
        <w:pStyle w:val="BodyText"/>
      </w:pPr>
      <w:r>
        <w:rPr>
          <w:bCs/>
          <w:b/>
        </w:rPr>
        <w:t xml:space="preserve">Chuỗi mô hình M0–M3</w:t>
      </w:r>
      <w:r>
        <w:t xml:space="preserve">:</w:t>
      </w:r>
    </w:p>
    <w:p>
      <w:pPr>
        <w:pStyle w:val="BodyText"/>
      </w:pPr>
      <w:r>
        <w:t xml:space="preserve">M0 (Controls baseline):</w:t>
      </w:r>
      <w:r>
        <w:t xml:space="preserve"> </w:t>
      </w:r>
      <w:r>
        <w:t xml:space="preserve">lnNSLD_it = α + γ₁ lnLD_it + γ₂ TuoiDN_it + γ₃ SoHuuNN_it + δ_c + λ_t + ε_it</w:t>
      </w:r>
    </w:p>
    <w:p>
      <w:pPr>
        <w:pStyle w:val="BodyText"/>
      </w:pPr>
      <w:r>
        <w:t xml:space="preserve">M1 (Tuyến tính — kiểm định H1 FIP):</w:t>
      </w:r>
      <w:r>
        <w:t xml:space="preserve"> </w:t>
      </w:r>
      <w:r>
        <w:t xml:space="preserve">lnNSLD_it = α + β₁ CDDXK_c_it + γ·X_it + δ_c + λ_t + ε_it</w:t>
      </w:r>
      <w:r>
        <w:t xml:space="preserve"> </w:t>
      </w:r>
      <w:r>
        <w:t xml:space="preserve">→</w:t>
      </w:r>
      <w:r>
        <w:t xml:space="preserve"> </w:t>
      </w:r>
      <w:r>
        <w:rPr>
          <w:bCs/>
          <w:b/>
        </w:rPr>
        <w:t xml:space="preserve">H1 FIP: β₁ &lt; 0, không có điểm ngưỡng</w:t>
      </w:r>
      <w:r>
        <w:t xml:space="preserve"> </w:t>
      </w:r>
      <w:r>
        <w:t xml:space="preserve">[β₁ = −0,404, SE = 0,188, p = .032*]</w:t>
      </w:r>
    </w:p>
    <w:p>
      <w:pPr>
        <w:pStyle w:val="BodyText"/>
      </w:pPr>
      <w:r>
        <w:t xml:space="preserve">M2 (Phi tuyến — kiểm định hình dạng đường cong):</w:t>
      </w:r>
      <w:r>
        <w:t xml:space="preserve"> </w:t>
      </w:r>
      <w:r>
        <w:t xml:space="preserve">lnNSLD_it = α + β₁ CDDXK_c_it + β₂ CDDXK_c²_it + γ·X_it + δ_c + λ_t + ε_it</w:t>
      </w:r>
      <w:r>
        <w:t xml:space="preserve"> </w:t>
      </w:r>
      <w:r>
        <w:t xml:space="preserve">→ β₁ và β₂ đều không có ý nghĩa thống kê → xác nhận quan hệ âm đơn điệu, không có điểm ngưỡng</w:t>
      </w:r>
    </w:p>
    <w:p>
      <w:pPr>
        <w:pStyle w:val="BodyText"/>
      </w:pPr>
      <w:r>
        <w:t xml:space="preserve">M3 (+ Năng lực — kiểm định H2 null):</w:t>
      </w:r>
      <w:r>
        <w:t xml:space="preserve"> </w:t>
      </w:r>
      <w:r>
        <w:t xml:space="preserve">lnNSLD_it = α + β₁ CDDXK_c_it + β₂ CDDXK_c²_it + β₃ NLCN_z_it + β₄ CSS_z_it + γ·X_it + δ_c + λ_t + ε_it</w:t>
      </w:r>
      <w:r>
        <w:t xml:space="preserve"> </w:t>
      </w:r>
      <w:r>
        <w:t xml:space="preserve">→ NLCN_z: β = +0,058, p = .495 (n.s.); CSS_z: β = +0,062, p = .402 (n.s.)</w:t>
      </w:r>
      <w:r>
        <w:t xml:space="preserve"> </w:t>
      </w:r>
      <w:r>
        <w:t xml:space="preserve">→</w:t>
      </w:r>
      <w:r>
        <w:t xml:space="preserve"> </w:t>
      </w:r>
      <w:r>
        <w:rPr>
          <w:bCs/>
          <w:b/>
        </w:rPr>
        <w:t xml:space="preserve">H2: Năng lực doanh nghiệp không điều tiết được quan hệ CDDXK–lnNSLD trong bối cảnh SIDS</w:t>
      </w:r>
    </w:p>
    <w:p>
      <w:pPr>
        <w:pStyle w:val="BodyText"/>
      </w:pPr>
      <w:r>
        <w:rPr>
          <w:bCs/>
          <w:b/>
        </w:rPr>
        <w:t xml:space="preserve">Robustness</w:t>
      </w:r>
      <w:r>
        <w:t xml:space="preserve">:</w:t>
      </w:r>
    </w:p>
    <w:p>
      <w:pPr>
        <w:pStyle w:val="BodyText"/>
      </w:pPr>
      <w:r>
        <w:t xml:space="preserve">M_yearFE (chỉ year FE, không country FE):</w:t>
      </w:r>
      <w:r>
        <w:t xml:space="preserve"> </w:t>
      </w:r>
      <w:r>
        <w:t xml:space="preserve">lnNSLD_it = α + β₁ CDDXK_it + γ·X_it + λ_t + ε_it</w:t>
      </w:r>
      <w:r>
        <w:t xml:space="preserve"> </w:t>
      </w:r>
      <w:r>
        <w:t xml:space="preserve">→ β₁ = −1,236, SE = 0,269, p &lt; .001 (tác động mạnh hơn khi không kiểm soát heterogeneity quốc gia)</w:t>
      </w:r>
    </w:p>
    <w:p>
      <w:pPr>
        <w:pStyle w:val="BodyText"/>
      </w:pPr>
      <w:r>
        <w:t xml:space="preserve">M_bivariate (không controls):</w:t>
      </w:r>
      <w:r>
        <w:t xml:space="preserve"> </w:t>
      </w:r>
      <w:r>
        <w:t xml:space="preserve">lnNSLD_it = α + β₁ CDDXK_it + ε_it</w:t>
      </w:r>
      <w:r>
        <w:t xml:space="preserve"> </w:t>
      </w:r>
      <w:r>
        <w:t xml:space="preserve">→ β₁ = −1,596, SE = 0,263, p &lt; .001</w:t>
      </w:r>
    </w:p>
    <w:p>
      <w:pPr>
        <w:pStyle w:val="BodyText"/>
      </w:pPr>
      <w:r>
        <w:t xml:space="preserve">Exporters-only (N = 187 nhà xuất khẩu):</w:t>
      </w:r>
      <w:r>
        <w:t xml:space="preserve"> </w:t>
      </w:r>
      <w:r>
        <w:t xml:space="preserve">→ β₁(CDDXK_c) = −0,901, SE = 0,398, p = .027* — xác nhận FIP ngay trong nhóm đang xuất khẩu</w:t>
      </w:r>
    </w:p>
    <w:p>
      <w:pPr>
        <w:pStyle w:val="BodyText"/>
      </w:pPr>
      <w:r>
        <w:rPr>
          <w:bCs/>
          <w:b/>
        </w:rPr>
        <w:t xml:space="preserve">Kết quả chính</w:t>
      </w:r>
      <w:r>
        <w:t xml:space="preserve">:</w:t>
      </w:r>
    </w:p>
    <w:p>
      <w:pPr>
        <w:pStyle w:val="BodyText"/>
      </w:pPr>
      <w:r>
        <w:rPr>
          <w:bCs/>
          <w:b/>
        </w:rPr>
        <w:t xml:space="preserve">Gánh nặng quốc tế hóa bắt buộc (Forced Internationalization Penalty — FIP)</w:t>
      </w:r>
      <w:r>
        <w:t xml:space="preserve"> </w:t>
      </w:r>
      <w:r>
        <w:t xml:space="preserve">được xác nhận: quan hệ âm đơn điệu giữa cường độ quốc tế hóa và năng suất lao động tại 9 nền kinh tế Pacific SIDS, không có điểm ngưỡng trong phạm vi dữ liệu quan sát (CDDXK trung bình = 0,060).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Mô hình</w:t>
            </w:r>
          </w:p>
        </w:tc>
        <w:tc>
          <w:tcPr/>
          <w:p>
            <w:pPr>
              <w:pStyle w:val="Compact"/>
              <w:jc w:val="left"/>
            </w:pPr>
            <w:r>
              <w:t xml:space="preserve">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c>
          <w:tcPr/>
          <w:p>
            <w:pPr>
              <w:pStyle w:val="Compact"/>
              <w:jc w:val="left"/>
            </w:pPr>
            <w:r>
              <w:t xml:space="preserve">Kết luận</w:t>
            </w:r>
          </w:p>
        </w:tc>
      </w:tr>
      <w:tr>
        <w:tc>
          <w:tcPr/>
          <w:p>
            <w:pPr>
              <w:pStyle w:val="Compact"/>
              <w:jc w:val="left"/>
            </w:pPr>
            <w:r>
              <w:t xml:space="preserve">M1 (country+year FE)</w:t>
            </w:r>
          </w:p>
        </w:tc>
        <w:tc>
          <w:tcPr/>
          <w:p>
            <w:pPr>
              <w:pStyle w:val="Compact"/>
              <w:jc w:val="left"/>
            </w:pPr>
            <w:r>
              <w:t xml:space="preserve">1.469</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rPr>
                <w:bCs/>
                <w:b/>
              </w:rPr>
              <w:t xml:space="preserve">FIP xác nhận</w:t>
            </w:r>
          </w:p>
        </w:tc>
      </w:tr>
      <w:tr>
        <w:tc>
          <w:tcPr/>
          <w:p>
            <w:pPr>
              <w:pStyle w:val="Compact"/>
              <w:jc w:val="left"/>
            </w:pPr>
            <w:r>
              <w:t xml:space="preserve">M2 (phi tuyến)</w:t>
            </w:r>
          </w:p>
        </w:tc>
        <w:tc>
          <w:tcPr/>
          <w:p>
            <w:pPr>
              <w:pStyle w:val="Compact"/>
              <w:jc w:val="left"/>
            </w:pPr>
            <w:r>
              <w:t xml:space="preserve">1.469</w:t>
            </w:r>
          </w:p>
        </w:tc>
        <w:tc>
          <w:tcPr/>
          <w:p>
            <w:pPr>
              <w:pStyle w:val="Compact"/>
              <w:jc w:val="left"/>
            </w:pPr>
            <w:r>
              <w:t xml:space="preserve">n.s.</w:t>
            </w:r>
          </w:p>
        </w:tc>
        <w:tc>
          <w:tcPr/>
          <w:p>
            <w:pPr>
              <w:pStyle w:val="Compact"/>
              <w:jc w:val="left"/>
            </w:pPr>
            <w:r>
              <w:t xml:space="preserve">—</w:t>
            </w:r>
          </w:p>
        </w:tc>
        <w:tc>
          <w:tcPr/>
          <w:p>
            <w:pPr>
              <w:pStyle w:val="Compact"/>
              <w:jc w:val="left"/>
            </w:pPr>
            <w:r>
              <w:t xml:space="preserve">.265</w:t>
            </w:r>
          </w:p>
        </w:tc>
        <w:tc>
          <w:tcPr/>
          <w:p>
            <w:pPr>
              <w:pStyle w:val="Compact"/>
              <w:jc w:val="left"/>
            </w:pPr>
            <w:r>
              <w:t xml:space="preserve">Không có điểm ngưỡng</w:t>
            </w:r>
          </w:p>
        </w:tc>
      </w:tr>
      <w:tr>
        <w:tc>
          <w:tcPr/>
          <w:p>
            <w:pPr>
              <w:pStyle w:val="Compact"/>
              <w:jc w:val="left"/>
            </w:pPr>
            <w:r>
              <w:t xml:space="preserve">M3 (+ năng lực, N giảm)</w:t>
            </w:r>
          </w:p>
        </w:tc>
        <w:tc>
          <w:tcPr/>
          <w:p>
            <w:pPr>
              <w:pStyle w:val="Compact"/>
              <w:jc w:val="left"/>
            </w:pPr>
            <w:r>
              <w:t xml:space="preserve">526</w:t>
            </w:r>
          </w:p>
        </w:tc>
        <w:tc>
          <w:tcPr/>
          <w:p>
            <w:pPr>
              <w:pStyle w:val="Compact"/>
              <w:jc w:val="left"/>
            </w:pPr>
            <w:r>
              <w:t xml:space="preserve">−0,974</w:t>
            </w:r>
          </w:p>
        </w:tc>
        <w:tc>
          <w:tcPr/>
          <w:p>
            <w:pPr>
              <w:pStyle w:val="Compact"/>
              <w:jc w:val="left"/>
            </w:pPr>
            <w:r>
              <w:t xml:space="preserve">0,850</w:t>
            </w:r>
          </w:p>
        </w:tc>
        <w:tc>
          <w:tcPr/>
          <w:p>
            <w:pPr>
              <w:pStyle w:val="Compact"/>
              <w:jc w:val="left"/>
            </w:pPr>
            <w:r>
              <w:t xml:space="preserve">.252</w:t>
            </w:r>
          </w:p>
        </w:tc>
        <w:tc>
          <w:tcPr/>
          <w:p>
            <w:pPr>
              <w:pStyle w:val="Compact"/>
              <w:jc w:val="left"/>
            </w:pPr>
            <w:r>
              <w:t xml:space="preserve">FIP giữ chiều âm</w:t>
            </w:r>
          </w:p>
        </w:tc>
      </w:tr>
      <w:tr>
        <w:tc>
          <w:tcPr/>
          <w:p>
            <w:pPr>
              <w:pStyle w:val="Compact"/>
              <w:jc w:val="left"/>
            </w:pPr>
            <w:r>
              <w:t xml:space="preserve">M_yearFE</w:t>
            </w:r>
          </w:p>
        </w:tc>
        <w:tc>
          <w:tcPr/>
          <w:p>
            <w:pPr>
              <w:pStyle w:val="Compact"/>
              <w:jc w:val="left"/>
            </w:pPr>
            <w:r>
              <w:t xml:space="preserve">1.469</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Vững</w:t>
            </w:r>
          </w:p>
        </w:tc>
      </w:tr>
      <w:tr>
        <w:tc>
          <w:tcPr/>
          <w:p>
            <w:pPr>
              <w:pStyle w:val="Compact"/>
              <w:jc w:val="left"/>
            </w:pPr>
            <w:r>
              <w:t xml:space="preserve">Exporters-only</w:t>
            </w:r>
          </w:p>
        </w:tc>
        <w:tc>
          <w:tcPr/>
          <w:p>
            <w:pPr>
              <w:pStyle w:val="Compact"/>
              <w:jc w:val="left"/>
            </w:pPr>
            <w:r>
              <w:t xml:space="preserve">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Vững</w:t>
            </w:r>
          </w:p>
        </w:tc>
      </w:tr>
    </w:tbl>
    <w:p>
      <w:pPr>
        <w:pStyle w:val="BodyText"/>
      </w:pPr>
      <w:r>
        <w:rPr>
          <w:iCs/>
          <w:i/>
        </w:rPr>
        <w:t xml:space="preserve">Ghi chú: N giảm trong M3 (1.469 → 526) do missing values của biến NLCN_z và CSS_z. Chiều β(CDDXK_c) nhất quán âm trong tất cả mô hình. Country FE hấp thụ phần lớn phương sai (R² tăng từ 0,511 lên 0,800 khi thêm country FE), phù hợp với bối cảnh heterogeneity cực cao giữa các nền kinh tế SIDS. DAI là Tier-1 proxy (website) — không phải năng lực số động.</w:t>
      </w:r>
    </w:p>
    <w:p>
      <w:pPr>
        <w:pStyle w:val="BodyText"/>
      </w:pPr>
      <w:r>
        <w:rPr>
          <w:bCs/>
          <w:b/>
        </w:rPr>
        <w:t xml:space="preserve">Đóng góp lý thuyết từ Nghiên cứu 8</w:t>
      </w:r>
      <w:r>
        <w:t xml:space="preserve">: FIP là</w:t>
      </w:r>
      <w:r>
        <w:t xml:space="preserve"> </w:t>
      </w:r>
      <w:r>
        <w:rPr>
          <w:bCs/>
          <w:b/>
        </w:rPr>
        <w:t xml:space="preserve">boundary condition</w:t>
      </w:r>
      <w:r>
        <w:t xml:space="preserve"> </w:t>
      </w:r>
      <w:r>
        <w:t xml:space="preserve">của mô hình inverted-U: khi 3 điều kiện tiên quyết cấu trúc đồng thời không được đáp ứng — (1) thị trường nội địa khả thi, (2) chi phí thương mại chấp nhận được, (3) thể chế hỗ trợ trao đổi quốc tế — quan hệ I→P chuyển từ inverted-U thành đường thẳng âm đơn điệu không có điểm ngưỡng. Chuyển dịch lý thuyết từ "institutional moderation of I-P intensity" (Marano et al., 2016) sang "institutional determination of I-P sign".</w:t>
      </w:r>
    </w:p>
    <w:p>
      <w:r>
        <w:pict>
          <v:rect style="width:0;height:1.5pt" o:hralign="center" o:hrstd="t" o:hr="t"/>
        </w:pict>
      </w:r>
    </w:p>
    <w:bookmarkEnd w:id="47"/>
    <w:bookmarkStart w:id="48" w:name="X6ef7915cef2320d0a5a0851ec4b4441ab8af223"/>
    <w:p>
      <w:pPr>
        <w:pStyle w:val="Heading3"/>
      </w:pPr>
      <w:r>
        <w:t xml:space="preserve">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48"/>
    <w:bookmarkEnd w:id="49"/>
    <w:bookmarkStart w:id="55" w:name="Xbd137c7549379bc59bd868848e5dfb5b5e4e977"/>
    <w:p>
      <w:pPr>
        <w:pStyle w:val="Heading2"/>
      </w:pPr>
      <w:r>
        <w:t xml:space="preserve">5. Kiểm định độ vững</w:t>
      </w:r>
    </w:p>
    <w:bookmarkStart w:id="50" w:name="X431ee618c3d4d2cdcb5311a37313dcf18ed1464"/>
    <w:p>
      <w:pPr>
        <w:pStyle w:val="Heading3"/>
      </w:pPr>
      <w:r>
        <w:t xml:space="preserve">5.1 Thay đổi thước đo</w:t>
      </w:r>
    </w:p>
    <w:p>
      <w:pPr>
        <w:numPr>
          <w:ilvl w:val="0"/>
          <w:numId w:val="1008"/>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8"/>
        </w:numPr>
        <w:pStyle w:val="Compact"/>
      </w:pPr>
      <w:r>
        <w:t xml:space="preserve">Biến độc lập: thay FSTS bằng export status (binary), foreign sales count.</w:t>
      </w:r>
    </w:p>
    <w:p>
      <w:pPr>
        <w:numPr>
          <w:ilvl w:val="0"/>
          <w:numId w:val="1008"/>
        </w:numPr>
        <w:pStyle w:val="Compact"/>
      </w:pPr>
      <w:r>
        <w:t xml:space="preserve">Biến moderator: thay DAI_thin bằng DAI_rich (cho subset 2024+).</w:t>
      </w:r>
    </w:p>
    <w:bookmarkEnd w:id="50"/>
    <w:bookmarkStart w:id="51" w:name="X9e9ef139d57d7f609b0bd2a30f6aacc57ffda85"/>
    <w:p>
      <w:pPr>
        <w:pStyle w:val="Heading3"/>
      </w:pPr>
      <w:r>
        <w:t xml:space="preserve">5.2 Mẫu phụ</w:t>
      </w:r>
    </w:p>
    <w:p>
      <w:pPr>
        <w:pStyle w:val="FirstParagraph"/>
      </w:pPr>
      <w:r>
        <w:t xml:space="preserve">Loại trừ micro firms (&lt;5 lao động); chỉ giữ SMEs; chỉ giữ manufacturing; chỉ giữ exporters (FSTS &gt; 0); subgroup theo 6 sub-regime ICRV.</w:t>
      </w:r>
    </w:p>
    <w:bookmarkEnd w:id="51"/>
    <w:bookmarkStart w:id="52" w:name="X98cc73fc712d9e44cc5d18b702bb976620f7fc1"/>
    <w:p>
      <w:pPr>
        <w:pStyle w:val="Heading3"/>
      </w:pPr>
      <w:r>
        <w:t xml:space="preserve">5.3 Outliers</w:t>
      </w:r>
    </w:p>
    <w:p>
      <w:pPr>
        <w:pStyle w:val="FirstParagraph"/>
      </w:pPr>
      <w:r>
        <w:t xml:space="preserve">Winsorization 1% và 5% đối với labor productivity và employment, áp dụng trong từng country-year.</w:t>
      </w:r>
    </w:p>
    <w:bookmarkEnd w:id="52"/>
    <w:bookmarkStart w:id="53" w:name="X33d8f36a6a0e8ad3d10f0b0d165a7983b25acc1"/>
    <w:p>
      <w:pPr>
        <w:pStyle w:val="Heading3"/>
      </w:pPr>
      <w:r>
        <w:t xml:space="preserve">5.4 Multicollinearity và heteroscedasticity</w:t>
      </w:r>
    </w:p>
    <w:p>
      <w:pPr>
        <w:numPr>
          <w:ilvl w:val="0"/>
          <w:numId w:val="1009"/>
        </w:numPr>
        <w:pStyle w:val="Compact"/>
      </w:pPr>
      <w:r>
        <w:t xml:space="preserve">VIF cho tất cả mô hình; ngưỡng VIF &lt; 5 (Hair et al., 2019).</w:t>
      </w:r>
    </w:p>
    <w:p>
      <w:pPr>
        <w:numPr>
          <w:ilvl w:val="0"/>
          <w:numId w:val="1009"/>
        </w:numPr>
        <w:pStyle w:val="Compact"/>
      </w:pPr>
      <w:r>
        <w:t xml:space="preserve">Breusch–Pagan test (Breusch &amp; Pagan, 1979).</w:t>
      </w:r>
    </w:p>
    <w:bookmarkEnd w:id="53"/>
    <w:bookmarkStart w:id="54" w:name="X72f2a8f16e87d5c44ffc52bf2b3af577e467955"/>
    <w:p>
      <w:pPr>
        <w:pStyle w:val="Heading3"/>
      </w:pPr>
      <w:r>
        <w:t xml:space="preserve">5.5 Sensitivity analysis cho meta-analysis</w:t>
      </w:r>
    </w:p>
    <w:p>
      <w:pPr>
        <w:numPr>
          <w:ilvl w:val="0"/>
          <w:numId w:val="1010"/>
        </w:numPr>
        <w:pStyle w:val="Compact"/>
      </w:pPr>
      <w:r>
        <w:t xml:space="preserve">Leave-one-out: loại từng nghiên cứu và tái tính pooled effect.</w:t>
      </w:r>
    </w:p>
    <w:p>
      <w:pPr>
        <w:numPr>
          <w:ilvl w:val="0"/>
          <w:numId w:val="1010"/>
        </w:numPr>
        <w:pStyle w:val="Compact"/>
      </w:pPr>
      <w:r>
        <w:t xml:space="preserve">Trim-and-fill (Duval &amp; Tweedie, 2000) cho publication bias.</w:t>
      </w:r>
    </w:p>
    <w:bookmarkEnd w:id="54"/>
    <w:bookmarkEnd w:id="55"/>
    <w:bookmarkStart w:id="56" w:name="Xba1727fc0da4fc8e26a315fbd09b8799e5ac3db"/>
    <w:p>
      <w:pPr>
        <w:pStyle w:val="Heading2"/>
      </w:pPr>
      <w:r>
        <w:t xml:space="preserve">6. Tóm tắt kế thừa và đóng góp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Đỗ &amp; Phan (2026 — VEFR) — 17 nước châu Á mới nổi</w:t>
            </w:r>
          </w:p>
        </w:tc>
        <w:tc>
          <w:tcPr/>
          <w:p>
            <w:pPr>
              <w:pStyle w:val="Compact"/>
              <w:jc w:val="left"/>
            </w:pPr>
            <w:r>
              <w:t xml:space="preserve">Mở rộng từ 17 →</w:t>
            </w:r>
            <w:r>
              <w:t xml:space="preserve"> </w:t>
            </w:r>
            <w:r>
              <w:rPr>
                <w:bCs/>
                <w:b/>
              </w:rPr>
              <w:t xml:space="preserve">47 nước</w:t>
            </w:r>
            <w:r>
              <w:t xml:space="preserve"> </w:t>
            </w:r>
            <w:r>
              <w:t xml:space="preserve">với 101.185 doanh nghiệp · 108 cặp quốc gia × năm</w:t>
            </w:r>
          </w:p>
        </w:tc>
      </w:tr>
      <w:tr>
        <w:tc>
          <w:tcPr/>
          <w:p>
            <w:pPr>
              <w:pStyle w:val="Compact"/>
              <w:jc w:val="left"/>
            </w:pPr>
            <w:r>
              <w:t xml:space="preserve">Labor productivity DV</w:t>
            </w:r>
          </w:p>
        </w:tc>
        <w:tc>
          <w:tcPr/>
          <w:p>
            <w:pPr>
              <w:pStyle w:val="Compact"/>
              <w:jc w:val="left"/>
            </w:pPr>
            <w:r>
              <w:t xml:space="preserve">Bloom et al. (2012); Hsieh &amp; Klenow (2009); Đỗ &amp; Phan (2026 — VEFR)</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Đỗ &amp; Phan (2026 — JFAR)</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(Đỗ &amp; Phan, 2026 — VEFR)</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Đỗ &amp; Phan (2026 — JFAR)</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56"/>
    <w:bookmarkStart w:id="57" w:name="X696efacd1a1ef1aca1868f20b67b10fe2c2b182"/>
    <w:p>
      <w:pPr>
        <w:pStyle w:val="Heading2"/>
      </w:pPr>
      <w:r>
        <w:t xml:space="preserve">7. Đạo đức nghiên cứu</w:t>
      </w:r>
    </w:p>
    <w:p>
      <w:pPr>
        <w:pStyle w:val="FirstParagraph"/>
      </w:pPr>
      <w:r>
        <w:t xml:space="preserve">Luận án sử dụng dữ liệu thứ cấp từ WBES —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57"/>
    <w:bookmarkEnd w:id="5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2026-05-25T01:39:53Z</dcterms:created>
  <dcterms:modified xsi:type="dcterms:W3CDTF">2026-05-25T01:39:53Z</dcterms:modified>
</cp:coreProperties>
</file>

<file path=docProps/custom.xml><?xml version="1.0" encoding="utf-8"?>
<Properties xmlns="http://schemas.openxmlformats.org/officeDocument/2006/custom-properties" xmlns:vt="http://schemas.openxmlformats.org/officeDocument/2006/docPropsVTypes"/>
</file>