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chương-4-kết-quả-nghiên-cứu"/>
    <w:p>
      <w:pPr>
        <w:pStyle w:val="Heading1"/>
      </w:pPr>
      <w:r>
        <w:t xml:space="preserve">CHƯƠNG 4: KẾT QUẢ NGHIÊN CỨU</w:t>
      </w:r>
    </w:p>
    <w:p>
      <w:r>
        <w:pict>
          <v:rect style="width:0;height:1.5pt" o:hralign="center" o:hrstd="t" o:hr="t"/>
        </w:pict>
      </w:r>
    </w:p>
    <w:bookmarkStart w:id="20" w:name="giới-thiệu-chương"/>
    <w:p>
      <w:pPr>
        <w:pStyle w:val="Heading2"/>
      </w:pPr>
      <w:r>
        <w:t xml:space="preserve">Giới thiệu chương</w:t>
      </w:r>
    </w:p>
    <w:p>
      <w:pPr>
        <w:pStyle w:val="FirstParagraph"/>
      </w:pPr>
      <w:r>
        <w:t xml:space="preserve">Chương 4 trình bày toàn bộ kết quả thực nghiệm của luận án theo logic đi từ bằng chứng tổng hợp ở cấp vĩ mô (meta-analytic) đến bằng chứng quốc gia cụ thể và cuối cùng là kiểm định toàn mẫu đa quốc gia. Cấu trúc trình bày gồm sáu phần chính, tương ứng với sáu nhóm phân tích chính của luận án: (i) kết quả meta-analysis ba tầng (P6); (ii) bối cảnh thể chế tiên tiến—đổi mới tại Singapore (P4); (iii) bối cảnh thể chế trung bình cao tại Trung Quốc (P5); (iv) bối cảnh chuyển đổi bậc thấp—trung tại Việt Nam (P3); (v) kiểm định toàn mẫu châu Á đa bối cảnh (P7); và (vi) trường hợp biên là các nền kinh tế đảo nhỏ đang phát triển ở Thái Bình Dương (P8). Tất cả con số thống kê được trích từ bản thảo đang chuẩn bị (Đỗ &amp; Phan, 2026, bản thảo đang chuẩn bị) và không được phép tự ý điều chỉnh.</w:t>
      </w:r>
    </w:p>
    <w:p>
      <w:r>
        <w:pict>
          <v:rect style="width:0;height:1.5pt" o:hralign="center" o:hrstd="t" o:hr="t"/>
        </w:pict>
      </w:r>
    </w:p>
    <w:bookmarkEnd w:id="20"/>
    <w:bookmarkStart w:id="25" w:name="X94937597561f43606547c220f85caafe34980e6"/>
    <w:p>
      <w:pPr>
        <w:pStyle w:val="Heading2"/>
      </w:pPr>
      <w:r>
        <w:t xml:space="preserve">4.1 Kết quả tổng hợp định lượng — Meta-analysis ba tầng (P6)</w:t>
      </w:r>
    </w:p>
    <w:bookmarkStart w:id="21" w:name="Xd031f51f753498dbe6cafd5fc586674dbcf6cc0"/>
    <w:p>
      <w:pPr>
        <w:pStyle w:val="Heading3"/>
      </w:pPr>
      <w:r>
        <w:t xml:space="preserve">4.1.1 Chỉ số hiệu ứng tổng hợp</w:t>
      </w:r>
    </w:p>
    <w:p>
      <w:pPr>
        <w:pStyle w:val="FirstParagraph"/>
      </w:pPr>
      <w:r>
        <w:t xml:space="preserve">Phân tích meta-analytic tổng hợp ba tầng (three-level multilevel meta-analysis — MARA) được tiến hành trên tập dữ liệu gồm</w:t>
      </w:r>
      <w:r>
        <w:t xml:space="preserve"> </w:t>
      </w:r>
      <m:oMath>
        <m:r>
          <m:t>k</m:t>
        </m:r>
        <m:r>
          <m:rPr>
            <m:sty m:val="p"/>
          </m:rPr>
          <m:t>=</m:t>
        </m:r>
        <m:r>
          <m:t>238</m:t>
        </m:r>
      </m:oMath>
      <w:r>
        <w:t xml:space="preserve"> </w:t>
      </w:r>
      <w:r>
        <w:t xml:space="preserve">nghiên cứu với tổng cộng hàng trăm cặp effect-size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baseline meta-analysis đã công bố tại hội nghị ICBEF 2024 của Đỗ và Phan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w:t>
      </w:r>
      <w:r>
        <w:t xml:space="preserve">— sự hội tụ này tạo ra bằng chứng chéo vững chắc khi mở rộng pool lên gần gấp đôi số nghiên cứu.</w:t>
      </w:r>
    </w:p>
    <w:bookmarkEnd w:id="21"/>
    <w:bookmarkStart w:id="22" w:name="X249d4dd148d58674d2455c4660ffbc2a184c5d1"/>
    <w:p>
      <w:pPr>
        <w:pStyle w:val="Heading3"/>
      </w:pPr>
      <w:r>
        <w:t xml:space="preserve">4.1.2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0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 đây là nguồn dị biệt chủ đạo.</w:t>
      </w:r>
    </w:p>
    <w:p>
      <w:pPr>
        <w:numPr>
          <w:ilvl w:val="0"/>
          <w:numId w:val="100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heterogeneity trong I→P literature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literature I→P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22"/>
    <w:bookmarkStart w:id="23" w:name="X1b5e7430c159cd86fc68a74f4d181bb069e3c7e"/>
    <w:p>
      <w:pPr>
        <w:pStyle w:val="Heading3"/>
      </w:pPr>
      <w:r>
        <w:t xml:space="preserve">4.1.3 Điều tiết bởi chế độ thể chế — ICRV moderation</w:t>
      </w:r>
    </w:p>
    <w:p>
      <w:pPr>
        <w:pStyle w:val="FirstParagraph"/>
      </w:pPr>
      <w:r>
        <w:t xml:space="preserve">Kiểm định điều tiết bằng nhóm chế độ thể chế ICRV (Institutional Context Regime Variation) cho kết quả có ý nghĩa thống kê cao:</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 được phân loại thành sáu nhóm từ Advanced Innovation-Driven (Nhóm I: Singapore, Hong Kong, Đài Loan, Hàn Quốc) đến SIDS Thái Bình Dương (Nhóm VI) — là moderator có ý nghĩa thực sự cho mối quan hệ tổng hợp I→P trong văn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Gradient theo ICRV hiện diện rõ ràng trong kết quả: các nền kinh tế Advanced Innovation-Driven có hiệu ứng I→P lớn hơn so với các nền kinh tế Frontier hay SIDS. Kết quả này nhất quán với cơ chế lý thuyết từ Institutional Theory — môi trường thể chế chất lượng cao tạo điều kiện để doanh nghiệp chuyển hóa quốc tế hóa thành hiệu quả dễ dàng hơn (North, 1990; Marano et al., 2016).</w:t>
      </w:r>
    </w:p>
    <w:bookmarkEnd w:id="23"/>
    <w:bookmarkStart w:id="24" w:name="X6c5deb1d61b597d94fea6a9d5467893d4081d11"/>
    <w:p>
      <w:pPr>
        <w:pStyle w:val="Heading3"/>
      </w:pPr>
      <w:r>
        <w:t xml:space="preserve">4.1.4 Kiểm định publication bias</w:t>
      </w:r>
    </w:p>
    <w:p>
      <w:pPr>
        <w:pStyle w:val="FirstParagraph"/>
      </w:pPr>
      <w:r>
        <w:t xml:space="preserve">Phân tích publication bias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 có ý nghĩa thống kê rõ ràng, cho thấy các nghiên cứu với sai số chuẩn lớn hơn (mẫu nhỏ hơn) có xu hướng báo cáo effect size thấp hơn, phù hợp với lệch lạc công bố ưu tiên kết quả dương tính.</w:t>
      </w:r>
      <w:r>
        <w:t xml:space="preserve"> </w:t>
      </w:r>
      <w:r>
        <w:rPr>
          <w:bCs/>
          <w:b/>
        </w:rPr>
        <w:t xml:space="preserve">Phân tích trim-and-fill</w:t>
      </w:r>
      <w:r>
        <w:t xml:space="preserve"> </w:t>
      </w:r>
      <w:r>
        <w:t xml:space="preserve">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imputed) — mức điều chỉnh đáng kể nhưng không đổi chiều hướng tích cực của quan hệ tổng hợp.</w:t>
      </w:r>
      <w:r>
        <w:t xml:space="preserve"> </w:t>
      </w:r>
      <w:r>
        <w:rPr>
          <w:bCs/>
          <w:b/>
        </w:rPr>
        <w:t xml:space="preserve">Fail-safe</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m:t>
        </m:r>
        <m:r>
          <m:rPr>
            <m:sty m:val="p"/>
          </m:rPr>
          <m:t>,</m:t>
        </m:r>
        <m:r>
          <m:t>200</m:t>
        </m:r>
      </m:oMath>
      <w:r>
        <w:t xml:space="preserve">, khẳng định publication bias không thể bác bỏ hoàn toàn kết quả tổng hợp. Tổng hợp lại, bằng chứng publication bias được xác nhận qua kiểm định Begg–Mazumdar có ý nghĩa (</w:t>
      </w:r>
      <m:oMath>
        <m:r>
          <m:t>p</m:t>
        </m:r>
        <m:r>
          <m:rPr>
            <m:sty m:val="p"/>
          </m:rPr>
          <m:t>=</m:t>
        </m:r>
        <m:r>
          <m:rPr>
            <m:sty m:val="p"/>
          </m:rPr>
          <m:t>,</m:t>
        </m:r>
        <m:r>
          <m:t>0007</m:t>
        </m:r>
      </m:oMath>
      <w:r>
        <w:t xml:space="preserve">): pooled effect thực</w:t>
      </w:r>
      <w:r>
        <w:t xml:space="preserve"> </w:t>
      </w:r>
      <m:oMath>
        <m:r>
          <m:t>r</m:t>
        </m:r>
        <m:r>
          <m:rPr>
            <m:sty m:val="p"/>
          </m:rPr>
          <m:t>=</m:t>
        </m:r>
        <m:r>
          <m:t>0</m:t>
        </m:r>
        <m:r>
          <m:rPr>
            <m:sty m:val="p"/>
          </m:rPr>
          <m:t>,</m:t>
        </m:r>
        <m:r>
          <m:t>074</m:t>
        </m:r>
      </m:oMath>
      <w:r>
        <w:t xml:space="preserve"> </w:t>
      </w:r>
      <w:r>
        <w:t xml:space="preserve">có thể bị thổi phồng so với hiệu ứng dân số thực, với ước lượng bảo thủ hơn là</w:t>
      </w:r>
      <w:r>
        <w:t xml:space="preserve"> </w:t>
      </w:r>
      <m:oMath>
        <m:r>
          <m:t>r</m:t>
        </m:r>
        <m:r>
          <m:rPr>
            <m:sty m:val="p"/>
          </m:rPr>
          <m:t>=</m:t>
        </m:r>
        <m:r>
          <m:t>0</m:t>
        </m:r>
        <m:r>
          <m:rPr>
            <m:sty m:val="p"/>
          </m:rPr>
          <m:t>,</m:t>
        </m:r>
        <m:r>
          <m:t>035</m:t>
        </m:r>
      </m:oMath>
      <w:r>
        <w:t xml:space="preserve">.</w:t>
      </w:r>
    </w:p>
    <w:p>
      <w:r>
        <w:pict>
          <v:rect style="width:0;height:1.5pt" o:hralign="center" o:hrstd="t" o:hr="t"/>
        </w:pict>
      </w:r>
    </w:p>
    <w:bookmarkEnd w:id="24"/>
    <w:bookmarkEnd w:id="25"/>
    <w:bookmarkStart w:id="29" w:name="Xeacdefc5b82dce0a7e96c44195ed4509581c200"/>
    <w:p>
      <w:pPr>
        <w:pStyle w:val="Heading2"/>
      </w:pPr>
      <w:r>
        <w:t xml:space="preserve">4.2 Kết quả bối cảnh thể chế tiên tiến — Đổi mới: Singapore (P4)</w:t>
      </w:r>
    </w:p>
    <w:bookmarkStart w:id="26" w:name="Xda25c8021890fd56b2a556c5d0c8da9469b87e5"/>
    <w:p>
      <w:pPr>
        <w:pStyle w:val="Heading3"/>
      </w:pPr>
      <w:r>
        <w:t xml:space="preserve">4.2.1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237</m:t>
        </m:r>
      </m:oMath>
      <w:r>
        <w:t xml:space="preserve"> </w:t>
      </w:r>
      <w:r>
        <w:t xml:space="preserve">doanh nghiệp xuất khẩu xác nhận mối quan hệ phi tuyến (inverted U-shape) giữa FSTS và hiệu quả hoạt động ở mức có ý nghĩa thống kê (</w:t>
      </w:r>
      <m:oMath>
        <m:r>
          <m:t>p</m:t>
        </m:r>
        <m:r>
          <m:rPr>
            <m:sty m:val="p"/>
          </m:rPr>
          <m:t>&lt;</m:t>
        </m:r>
        <m:r>
          <m:rPr>
            <m:sty m:val="p"/>
          </m:rPr>
          <m:t>,</m:t>
        </m:r>
        <m:r>
          <m:t>05</m:t>
        </m:r>
      </m:oMath>
      <w:r>
        <w:t xml:space="preserve">).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turning point ước lượng được ở mức</w:t>
      </w:r>
      <w:r>
        <w:t xml:space="preserve"> </w:t>
      </w:r>
      <w:r>
        <w:rPr>
          <w:bCs/>
          <w:b/>
        </w:rPr>
        <w:t xml:space="preserve">TP ≈ 82% FSTS</w:t>
      </w:r>
      <w:r>
        <w:t xml:space="preserve"> </w:t>
      </w:r>
      <w:r>
        <w:t xml:space="preserve">— đây là điểm turning point cao nhất trong tất cả các bối cảnh ICRV được phân tích trong luận án. Khoảng tin cậy của turning point rộng (CI: [53%, 253%]), phản ánh hạn chế về quy mô mẫu và thống kê chính xác, nhưng điểm ước lượng trung tâm cho thấy rằng doanh nghiệp Singapore có thể duy trì đà tăng trưởng hiệu quả khi quốc tế hóa ở mức độ rất cao trước khi đạt đỉnh và suy giảm. Điều này nhất quán với lợi thế thể chế đặc thù của Singapore: nền kinh tế mở, hệ thống pháp lý mạnh, cơ sở hạ tầng thương mại hàng đầu thế giới, và mạng lưới thỏa thuận thương mại tự do rộng khắp cho phép giảm chi phí giao dịch xuyên biên giới.</w:t>
      </w:r>
    </w:p>
    <w:bookmarkEnd w:id="26"/>
    <w:bookmarkStart w:id="27" w:name="X86a529485cdbcaa7517ee410d8d7cfe4636a1c0"/>
    <w:p>
      <w:pPr>
        <w:pStyle w:val="Heading3"/>
      </w:pPr>
      <w:r>
        <w:t xml:space="preserve">4.2.2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&lt;</m:t>
        </m:r>
        <m:r>
          <m:t>0</m:t>
        </m:r>
      </m:oMath>
      <w:r>
        <w:t xml:space="preserve"> </w:t>
      </w:r>
      <w:r>
        <w:t xml:space="preserve">và có ý nghĩa thống kê (</w:t>
      </w:r>
      <m:oMath>
        <m:r>
          <m:t>p</m:t>
        </m:r>
        <m:r>
          <m:rPr>
            <m:sty m:val="p"/>
          </m:rPr>
          <m:t>&lt;</m:t>
        </m:r>
        <m:r>
          <m:rPr>
            <m:sty m:val="p"/>
          </m:rPr>
          <m:t>,</m:t>
        </m:r>
        <m:r>
          <m:t>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p>
      <w:pPr>
        <w:pStyle w:val="BodyText"/>
      </w:pPr>
      <w:r>
        <w:t xml:space="preserve">Kết quả này có ý nghĩa lý thuyết quan trọng: ở bối cảnh Advanced Innovation (Nhóm I), nơi cơ sở hạ tầng số đã phát triển đầy đủ, DAI phát huy vai trò điều tiết đáng kể trong quá trình quốc tế hóa. Kết quả P7 (49 nền kinh tế) sau đó xác nhận DAI có level effect phổ quát (β=+0,155***) và cơ chế "digital shield" — DAI×ICRV p=.012, mạnh nhất tại các bối cảnh thể chế yếu (Frontier/SIDS), không chỉ Advanced.</w:t>
      </w:r>
    </w:p>
    <w:bookmarkEnd w:id="27"/>
    <w:bookmarkStart w:id="28" w:name="Xbcac39ed7d72f54219e0a2446248eea6d1a660c"/>
    <w:p>
      <w:pPr>
        <w:pStyle w:val="Heading3"/>
      </w:pPr>
      <w:r>
        <w:t xml:space="preserve">4.2.3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nghiêm trọng về quy mô mẫu:</w:t>
      </w:r>
      <w:r>
        <w:t xml:space="preserve"> </w:t>
      </w:r>
      <m:oMath>
        <m:r>
          <m:t>N</m:t>
        </m:r>
        <m:r>
          <m:rPr>
            <m:sty m:val="p"/>
          </m:rPr>
          <m:t>=</m:t>
        </m:r>
        <m:r>
          <m:t>237</m:t>
        </m:r>
      </m:oMath>
      <w:r>
        <w:t xml:space="preserve"> </w:t>
      </w:r>
      <w:r>
        <w:t xml:space="preserve">quan sát, chỉ gồm các doanh nghiệp xuất khẩu, dẫn đến power thống kê ước tính chỉ đạt khoảng 16%. Điều này có nghĩa là ngay cả khi hiệu ứng thực sự tồn tại, khả năng phát hiện nó với mẫu nhỏ như vậy rất hạn chế. Luận án diễn giải kết quả Singapore như</w:t>
      </w:r>
      <w:r>
        <w:t xml:space="preserve"> </w:t>
      </w:r>
      <w:r>
        <w:rPr>
          <w:iCs/>
          <w:i/>
        </w:rPr>
        <w:t xml:space="preserve">bằng chứng phù hợp nhưng chưa kết luận</w:t>
      </w:r>
      <w:r>
        <w:t xml:space="preserve"> </w:t>
      </w:r>
      <w:r>
        <w:t xml:space="preserve">(consistent but underpowered evidence) — không bác bỏ giả thuyết nhưng cũng không tuyên bố xác nhận dứt khoát.</w:t>
      </w:r>
    </w:p>
    <w:p>
      <w:r>
        <w:pict>
          <v:rect style="width:0;height:1.5pt" o:hralign="center" o:hrstd="t" o:hr="t"/>
        </w:pict>
      </w:r>
    </w:p>
    <w:bookmarkEnd w:id="28"/>
    <w:bookmarkEnd w:id="29"/>
    <w:bookmarkStart w:id="33" w:name="Xc2b143d4aef099126e1356c1323f37e08d3ab3f"/>
    <w:p>
      <w:pPr>
        <w:pStyle w:val="Heading2"/>
      </w:pPr>
      <w:r>
        <w:t xml:space="preserve">4.3 Kết quả bối cảnh thể chế trung bình cao: Trung Quốc, 2012–2024 (P5)</w:t>
      </w:r>
    </w:p>
    <w:bookmarkStart w:id="30" w:name="X273c0712ac0fc836e0ec9604b8678a3ab65ab8e"/>
    <w:p>
      <w:pPr>
        <w:pStyle w:val="Heading3"/>
      </w:pPr>
      <w:r>
        <w:t xml:space="preserve">4.3.1 Xác nhận quan hệ phi tuyến và turning point</w:t>
      </w:r>
    </w:p>
    <w:p>
      <w:pPr>
        <w:pStyle w:val="FirstParagraph"/>
      </w:pPr>
      <w:r>
        <w:t xml:space="preserve">Phân tích hai giai đoạn trên dữ liệu WBES Trung Quốc (Nhóm III — Upper-middle) giai đoạn 2012–2024 xác nhận dạng quan hệ phi tuyến chữ U ngược giữa FSTS và hiệu quả hoạt động kinh doanh. Điểm turning point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Pooled (toàn mẫu)</w:t>
      </w:r>
      <w:r>
        <w:t xml:space="preserve">: TP = 48,78% FSTS</w:t>
      </w:r>
    </w:p>
    <w:p>
      <w:pPr>
        <w:pStyle w:val="FirstParagraph"/>
      </w:pPr>
      <w:r>
        <w:t xml:space="preserve">Các con số này cho thấy doanh nghiệp Trung Quốc đạt hiệu quả tối ưu khi tỷ lệ doanh thu xuất khẩu ở mức gần 49%, một mức độ tập trung quốc tế vừa phải trong bối cảnh nền kinh tế nội địa khổng lồ của Trung Quốc cũng cung cấp cơ hội tăng trưởng song song.</w:t>
      </w:r>
    </w:p>
    <w:bookmarkEnd w:id="30"/>
    <w:bookmarkStart w:id="31" w:name="X91c5789c1db8c4d2b037a8ed3d356867aa44728"/>
    <w:p>
      <w:pPr>
        <w:pStyle w:val="Heading3"/>
      </w:pPr>
      <w:r>
        <w:t xml:space="preserve">4.3.2 Kiểm định tính ổn định theo thời gian — Temporal Stability</w:t>
      </w:r>
    </w:p>
    <w:p>
      <w:pPr>
        <w:pStyle w:val="FirstParagraph"/>
      </w:pPr>
      <w:r>
        <w:t xml:space="preserve">Luận án đặt câu hỏi thực nghiệm quan trọng: liệu hình dạng phi tuyến và điểm turning point có thay đổi qua thập kỷ 2012–2024 —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 không có ý nghĩa thống kê. Điều này xác nhận rằng</w:t>
      </w:r>
      <w:r>
        <w:t xml:space="preserve"> </w:t>
      </w:r>
      <w:r>
        <w:rPr>
          <w:bCs/>
          <w:b/>
        </w:rPr>
        <w:t xml:space="preserve">điểm turning point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w:t>
      </w:r>
      <w:r>
        <w:t xml:space="preserve">— không có ý nghĩa thống kê, nghĩa là hình dạng tổng thể của quan hệ phi tuyến không biến đổi đáng kể qua giai đoạn phân tích.</w:t>
      </w:r>
    </w:p>
    <w:p>
      <w:pPr>
        <w:pStyle w:val="BodyText"/>
      </w:pPr>
      <w:r>
        <w:t xml:space="preserve">Phát hiện này trái ngược với H6 trong khung lý thuyết (temporal heterogeneity), nhưng lại có giá trị lý thuyết riêng: nó cho thấy rằng trong bối cảnh Upper-middle như Trung Quốc, tuy có nhiều biến động về chính sách và môi trường kinh doanh, cơ chế căn bản của quan hệ I→P vẫn duy trì tính ổn định đáng kể. Điều này có thể phản ánh sự bù trừ giữa các lực lượng: chi phí thích ứng tăng lên do chính sách thương mại khó đoán có thể được bù đắp bởi năng lực tổ chức ngày càng trưởng thành của các doanh nghiệp xuất khẩu Trung Quốc.</w:t>
      </w:r>
    </w:p>
    <w:bookmarkEnd w:id="31"/>
    <w:bookmarkStart w:id="32" w:name="Xf4c58dd74d18f0c94fb70938746fcab2bcc680b"/>
    <w:p>
      <w:pPr>
        <w:pStyle w:val="Heading3"/>
      </w:pPr>
      <w:r>
        <w:t xml:space="preserve">4.3.3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null về moderation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p>
      <w:r>
        <w:pict>
          <v:rect style="width:0;height:1.5pt" o:hralign="center" o:hrstd="t" o:hr="t"/>
        </w:pict>
      </w:r>
    </w:p>
    <w:bookmarkEnd w:id="32"/>
    <w:bookmarkEnd w:id="33"/>
    <w:bookmarkStart w:id="38" w:name="X4112adf63c0c5d0129994928f00251aa7b7359c"/>
    <w:p>
      <w:pPr>
        <w:pStyle w:val="Heading2"/>
      </w:pPr>
      <w:r>
        <w:t xml:space="preserve">4.4 Kết quả bối cảnh chuyển đổi bậc thấp—trung: Việt Nam (P3)</w:t>
      </w:r>
    </w:p>
    <w:bookmarkStart w:id="34" w:name="X5d87cdb499de6203259c1e8eff13947f35772a8"/>
    <w:p>
      <w:pPr>
        <w:pStyle w:val="Heading3"/>
      </w:pPr>
      <w:r>
        <w:t xml:space="preserve">4.4.1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 mô hình chính —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w:t>
      </w:r>
      <w:r>
        <w:t xml:space="preserve">— bằng chứng thống kê mạnh nhất trong tất cả các mẫu quốc gia của luận án.</w:t>
      </w:r>
    </w:p>
    <w:bookmarkEnd w:id="34"/>
    <w:bookmarkStart w:id="35" w:name="X2727d61a40bd80d560461f50cdc721a390ffad2"/>
    <w:p>
      <w:pPr>
        <w:pStyle w:val="Heading3"/>
      </w:pPr>
      <w:r>
        <w:t xml:space="preserve">4.4.2 Điểm turning point theo làn sóng</w:t>
      </w:r>
    </w:p>
    <w:p>
      <w:pPr>
        <w:pStyle w:val="FirstParagraph"/>
      </w:pPr>
      <w:r>
        <w:t xml:space="preserve">Turning point được ước lượng riêng cho từng làn sóng và cho pooled: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Pooled</w:t>
            </w:r>
          </w:p>
        </w:tc>
        <w:tc>
          <w:tcPr/>
          <w:p>
            <w:pPr>
              <w:pStyle w:val="Compact"/>
              <w:jc w:val="left"/>
            </w:pPr>
            <w:r>
              <w:t xml:space="preserve">39,7% FSTS</w:t>
            </w:r>
          </w:p>
        </w:tc>
      </w:tr>
    </w:tbl>
    <w:p>
      <w:pPr>
        <w:pStyle w:val="BodyText"/>
      </w:pPr>
      <w:r>
        <w:t xml:space="preserve">Điểm turning point trong khoảng</w:t>
      </w:r>
      <w:r>
        <w:t xml:space="preserve"> </w:t>
      </w:r>
      <w:r>
        <w:rPr>
          <w:bCs/>
          <w:b/>
        </w:rPr>
        <w:t xml:space="preserve">39–46% FSTS</w:t>
      </w:r>
      <w:r>
        <w:t xml:space="preserve"> </w:t>
      </w:r>
      <w:r>
        <w:t xml:space="preserve">đặt Việt Nam ở mức "thấp hơn đáng kể" so với Singapore (TP ≈ 82%) và tương đương hoặc thấp hơn Trung Quốc (TP ≈ 48,78%). Điều này phản ánh chi phí quốc tế hóa cao hơn trong bối cảnh thể chế chuyển đổi: môi trường thể chế chưa hoàn thiện, khoảng cách pháp lý và rào cản thông tin lớn hơn khiến điểm turning point dịch trái (thấp hơn) trên trục FSTS.</w:t>
      </w:r>
    </w:p>
    <w:p>
      <w:pPr>
        <w:pStyle w:val="BodyText"/>
      </w:pPr>
      <w:r>
        <w:t xml:space="preserve">Kiểm định Paternoster so sánh turning point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w:t>
      </w:r>
      <w:r>
        <w:t xml:space="preserve">— có ý nghĩa thống kê, cho thấy turning point đã dịch chuyển đáng kể từ 46,2% xuống 39,3% giữa hai làn sóng. Điều này có thể phản ánh sự thay đổi trong cấu trúc doanh nghiệp xuất khẩu Việt Nam sau giai đoạn hội nhập WTO và gia nhập nhiều hiệp định thương mại tự do, kéo theo làn sóng gia công xuất khẩu quy mô lớn nhưng biên lợi nhuận ngày càng cạnh tranh.</w:t>
      </w:r>
    </w:p>
    <w:bookmarkEnd w:id="35"/>
    <w:bookmarkStart w:id="36" w:name="Xd9cda3e330433fda7875e786e5594a490be6989"/>
    <w:p>
      <w:pPr>
        <w:pStyle w:val="Heading3"/>
      </w:pPr>
      <w:r>
        <w:t xml:space="preserve">4.4.3 Điều tiết bởi TCI —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Nói cách khác, doanh nghiệp Việt Nam có năng lực công nghệ tốt hơn (đo bằng TCI) đạt hiệu quả cao hơn từ quá trình quốc tế hóa — nhất quán với H2 trong khung lý thuyết CDCM.</w:t>
      </w:r>
    </w:p>
    <w:bookmarkEnd w:id="36"/>
    <w:bookmarkStart w:id="37" w:name="Xaf21f65b6a144c5de09c82b1caee2ca2acd1643"/>
    <w:p>
      <w:pPr>
        <w:pStyle w:val="Heading3"/>
      </w:pPr>
      <w:r>
        <w:t xml:space="preserve">4.4.4 Điều tiết bởi DAI —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không nhất thiết là bác bỏ H3, mà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p>
      <w:r>
        <w:pict>
          <v:rect style="width:0;height:1.5pt" o:hralign="center" o:hrstd="t" o:hr="t"/>
        </w:pict>
      </w:r>
    </w:p>
    <w:bookmarkEnd w:id="37"/>
    <w:bookmarkEnd w:id="38"/>
    <w:bookmarkStart w:id="42" w:name="Xf0c9d964765e7fcecebb3e563eda8ebaaf5526d"/>
    <w:p>
      <w:pPr>
        <w:pStyle w:val="Heading2"/>
      </w:pPr>
      <w:r>
        <w:t xml:space="preserve">4.5 Kết quả kiểm định toàn mẫu đa bối cảnh châu Á (P7)</w:t>
      </w:r>
    </w:p>
    <w:bookmarkStart w:id="39" w:name="Xe92da71a69b2d6e7758f9289fda0742bd2234e3"/>
    <w:p>
      <w:pPr>
        <w:pStyle w:val="Heading3"/>
      </w:pPr>
      <w:r>
        <w:t xml:space="preserve">4.5.1 Mẫu và mô hình chính</w:t>
      </w:r>
    </w:p>
    <w:p>
      <w:pPr>
        <w:pStyle w:val="FirstParagraph"/>
      </w:pPr>
      <w:r>
        <w:t xml:space="preserve">Phân tích P7 là kiểm định quy mô lớn nhất của luận án, kết hợp tất cả các bối cảnh ICRV trong khu vực châu Á và Thái Bình Dương với</w:t>
      </w:r>
      <w:r>
        <w:t xml:space="preserve"> </w:t>
      </w:r>
      <m:oMath>
        <m:r>
          <m:t>N</m:t>
        </m:r>
        <m:r>
          <m:rPr>
            <m:sty m:val="p"/>
          </m:rPr>
          <m:t>=</m:t>
        </m:r>
        <m:r>
          <m:t>84.910</m:t>
        </m:r>
      </m:oMath>
      <w:r>
        <w:rPr>
          <w:bCs/>
          <w:b/>
        </w:rPr>
        <w:t xml:space="preserve"> </w:t>
      </w:r>
      <w:r>
        <w:rPr>
          <w:bCs/>
          <w:b/>
        </w:rPr>
        <w:t xml:space="preserve">quan sát</w:t>
      </w:r>
      <w:r>
        <w:t xml:space="preserve"> </w:t>
      </w:r>
      <w:r>
        <w:t xml:space="preserve">(mô hình M2 — quadratic FSTS). Khi bổ sung đầy đủ biến kiểm soát, mẫu hồi quy là</w:t>
      </w:r>
      <w:r>
        <w:t xml:space="preserve"> </w:t>
      </w:r>
      <m:oMath>
        <m:r>
          <m:t>N</m:t>
        </m:r>
        <m:r>
          <m:rPr>
            <m:sty m:val="p"/>
          </m:rPr>
          <m:t>=</m:t>
        </m:r>
        <m:r>
          <m:t>38.342</m:t>
        </m:r>
      </m:oMath>
      <w:r>
        <w:t xml:space="preserve"> </w:t>
      </w:r>
      <w:r>
        <w:t xml:space="preserve">(M3–M5). Mô hình M5 với country fixed effects và year fixed effects — cấu hình mạnh nhất về kiểm soát phương sai không quan sát (</w:t>
      </w:r>
      <m:oMath>
        <m:sSup>
          <m:e>
            <m:r>
              <m:rPr>
                <m:nor/>
                <m:sty m:val="p"/>
              </m:rPr>
              <m:t>adjR</m:t>
            </m:r>
          </m:e>
          <m:sup>
            <m:r>
              <m:t>2</m:t>
            </m:r>
          </m:sup>
        </m:sSup>
        <m:r>
          <m:rPr>
            <m:sty m:val="p"/>
          </m:rPr>
          <m:t>=</m:t>
        </m:r>
        <m:r>
          <m:rPr>
            <m:sty m:val="p"/>
          </m:rPr>
          <m:t>,</m:t>
        </m:r>
        <m:r>
          <m:t>677</m:t>
        </m:r>
      </m:oMath>
      <w:r>
        <w:t xml:space="preserve">) — ước lượng turning point tổng thể (pooled):</w:t>
      </w:r>
    </w:p>
    <w:p>
      <w:pPr>
        <w:pStyle w:val="BodyText"/>
      </w:pPr>
      <m:oMathPara>
        <m:oMathParaPr>
          <m:jc m:val="center"/>
        </m:oMathParaPr>
        <m:oMath>
          <m:r>
            <m:rPr>
              <m:nor/>
              <m:sty m:val="p"/>
            </m:rPr>
            <m:t>TP(M5)</m:t>
          </m:r>
          <m:r>
            <m:rPr>
              <m:sty m:val="p"/>
            </m:rPr>
            <m:t>=</m:t>
          </m:r>
          <m:r>
            <m:t>40</m:t>
          </m:r>
          <m:r>
            <m:rPr>
              <m:sty m:val="p"/>
            </m:rPr>
            <m:t>,</m:t>
          </m:r>
          <m:r>
            <m:t>0</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Turning point dao động nhất quán trong dải 33,8–40,0% FSTS qua M2–M9, và được xác nhận lại trong mô hình điều tiết ba chiều M11 (</w:t>
      </w:r>
      <m:oMath>
        <m:r>
          <m:rPr>
            <m:nor/>
            <m:sty m:val="p"/>
          </m:rPr>
          <m:t>TP</m:t>
        </m:r>
        <m:r>
          <m:rPr>
            <m:sty m:val="p"/>
          </m:rPr>
          <m:t>=</m:t>
        </m:r>
        <m:r>
          <m:t>34</m:t>
        </m:r>
        <m:r>
          <m:rPr>
            <m:sty m:val="p"/>
          </m:rPr>
          <m:t>,</m:t>
        </m:r>
        <m:r>
          <m:t>6</m:t>
        </m:r>
        <m:r>
          <m:rPr>
            <m:sty m:val="p"/>
          </m:rPr>
          <m:t>%</m:t>
        </m:r>
      </m:oMath>
      <w:r>
        <w:t xml:space="preserve">,</w:t>
      </w:r>
      <w:r>
        <w:t xml:space="preserve"> </w:t>
      </w:r>
      <m:oMath>
        <m:sSub>
          <m:e>
            <m:r>
              <m:t>p</m:t>
            </m:r>
          </m:e>
          <m:sub>
            <m:r>
              <m:rPr>
                <m:nor/>
                <m:sty m:val="p"/>
              </m:rPr>
              <m:t>LM</m:t>
            </m:r>
          </m:sub>
        </m:sSub>
        <m:r>
          <m:rPr>
            <m:sty m:val="p"/>
          </m:rPr>
          <m:t>=</m:t>
        </m:r>
        <m:r>
          <m:rPr>
            <m:sty m:val="p"/>
          </m:rPr>
          <m:t>,</m:t>
        </m:r>
        <m:r>
          <m:t>002</m:t>
        </m:r>
      </m:oMath>
      <w:r>
        <w:t xml:space="preserve">,</w:t>
      </w:r>
      <w:r>
        <w:t xml:space="preserve"> </w:t>
      </w:r>
      <m:oMath>
        <m:r>
          <m:t>N</m:t>
        </m:r>
        <m:r>
          <m:rPr>
            <m:sty m:val="p"/>
          </m:rPr>
          <m:t>=</m:t>
        </m:r>
        <m:r>
          <m:t>29.840</m:t>
        </m:r>
      </m:oMath>
      <w:r>
        <w:t xml:space="preserve">).</w:t>
      </w:r>
    </w:p>
    <w:bookmarkEnd w:id="39"/>
    <w:bookmarkStart w:id="40" w:name="Xc568d6fd01fb41fe1ddfba785ff310c6ff56f41"/>
    <w:p>
      <w:pPr>
        <w:pStyle w:val="Heading3"/>
      </w:pPr>
      <w:r>
        <w:t xml:space="preserve">4.5.2 Gradient ICRV — Xác nhận H5</w:t>
      </w:r>
    </w:p>
    <w:p>
      <w:pPr>
        <w:pStyle w:val="FirstParagraph"/>
      </w:pPr>
      <w:r>
        <w:t xml:space="preserve">Kết quả quan trọng nhất của P7 là xác nhận</w:t>
      </w:r>
      <w:r>
        <w:t xml:space="preserve"> </w:t>
      </w:r>
      <w:r>
        <w:rPr>
          <w:bCs/>
          <w:b/>
        </w:rPr>
        <w:t xml:space="preserve">gradient ICRV</w:t>
      </w:r>
      <w:r>
        <w:t xml:space="preserve">: turning point</w:t>
      </w:r>
      <w:r>
        <w:t xml:space="preserve"> </w:t>
      </w:r>
      <w:r>
        <w:rPr>
          <w:bCs/>
          <w:b/>
        </w:rPr>
        <w:t xml:space="preserve">giảm dần</w:t>
      </w:r>
      <w:r>
        <w:t xml:space="preserve"> </w:t>
      </w:r>
      <w:r>
        <w:t xml:space="preserve">khi chuyển từ nhóm thể chế yếu hơn sang nhóm thể chế mạnh hơn. Cụ thể:</w:t>
      </w:r>
    </w:p>
    <w:p>
      <w:pPr>
        <w:pStyle w:val="BodyText"/>
      </w:pPr>
      <m:oMathPara>
        <m:oMathParaPr>
          <m:jc m:val="center"/>
        </m:oMathParaPr>
        <m:oMath>
          <m:r>
            <m:rPr>
              <m:nor/>
              <m:sty m:val="p"/>
            </m:rPr>
            <m:t>TP(Frontier/SIDS)</m:t>
          </m:r>
          <m:r>
            <m:rPr>
              <m:sty m:val="p"/>
            </m:rPr>
            <m:t>≈</m:t>
          </m:r>
          <m:r>
            <m:t>55</m:t>
          </m:r>
          <m:r>
            <m:rPr>
              <m:sty m:val="p"/>
            </m:rPr>
            <m:t>%</m:t>
          </m:r>
          <m:r>
            <m:rPr>
              <m:sty m:val="p"/>
            </m:rPr>
            <m:t>&gt;</m:t>
          </m:r>
          <m:r>
            <m:rPr>
              <m:nor/>
              <m:sty m:val="p"/>
            </m:rPr>
            <m:t>TP(Upper-middle)</m:t>
          </m:r>
          <m:r>
            <m:rPr>
              <m:sty m:val="p"/>
            </m:rPr>
            <m:t>&gt;</m:t>
          </m:r>
          <m:r>
            <m:rPr>
              <m:nor/>
              <m:sty m:val="p"/>
            </m:rPr>
            <m:t>TP(Advanced Innovation)</m:t>
          </m:r>
          <m:r>
            <m:rPr>
              <m:sty m:val="p"/>
            </m:rPr>
            <m:t>≈</m:t>
          </m:r>
          <m:r>
            <m:t>28</m:t>
          </m:r>
          <m:r>
            <m:rPr>
              <m:sty m:val="p"/>
            </m:rPr>
            <m:t>%</m:t>
          </m:r>
        </m:oMath>
      </m:oMathPara>
    </w:p>
    <w:p>
      <w:pPr>
        <w:pStyle w:val="FirstParagraph"/>
      </w:pPr>
      <w:r>
        <w:t xml:space="preserve">Gradient này nhất quán với dự đoán từ Institutional Theory: trong môi trường thể chế mạnh (Nhóm I), doanh nghiệp hoàn thu chi phí quốc tế hóa tại mức FSTS thấp hơn — đạt đỉnh hiệu quả sớm hơn. Tại các nền kinh tế thể chế yếu (Nhóm V–VI), doanh nghiệp cần mức độ quốc tế hóa cao hơn để bù đắp chi phí giao dịch, nên turning point xuất hiện muộn hơn.</w:t>
      </w:r>
    </w:p>
    <w:p>
      <w:pPr>
        <w:pStyle w:val="BodyText"/>
      </w:pPr>
      <w:r>
        <w:t xml:space="preserve">Kiểm định điều tiết tổng thể</w:t>
      </w:r>
      <w:r>
        <w:t xml:space="preserve"> </w:t>
      </w:r>
      <m:oMath>
        <m:sSub>
          <m:e>
            <m:r>
              <m:t>Q</m:t>
            </m:r>
          </m:e>
          <m:sub>
            <m:r>
              <m:t>M</m:t>
            </m:r>
          </m:sub>
        </m:sSub>
      </m:oMath>
      <w:r>
        <w:t xml:space="preserve"> </w:t>
      </w:r>
      <w:r>
        <w:t xml:space="preserve">về ICRV có ý nghĩa thống kê cao, nhất quán với kết quả meta-analysis trong P6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Hai nguồn bằng chứng độc lập — meta-analytic và primary empirical — cùng chỉ ra gradient ICRV, tạo ra independent confirmation có giá trị.</w:t>
      </w:r>
    </w:p>
    <w:bookmarkEnd w:id="40"/>
    <w:bookmarkStart w:id="41" w:name="X32256812b2a6eeab55c6374f270a14b6f4f2077"/>
    <w:p>
      <w:pPr>
        <w:pStyle w:val="Heading3"/>
      </w:pPr>
      <w:r>
        <w:t xml:space="preserve">4.5.3 Điều tiết bởi TCI và DAI trong toàn mẫu</w:t>
      </w:r>
    </w:p>
    <w:p>
      <w:pPr>
        <w:numPr>
          <w:ilvl w:val="0"/>
          <w:numId w:val="1003"/>
        </w:numPr>
        <w:pStyle w:val="Compact"/>
      </w:pPr>
      <w:r>
        <w:rPr>
          <w:bCs/>
          <w:b/>
        </w:rPr>
        <w:t xml:space="preserve">TCI</w:t>
      </w:r>
      <w:r>
        <w:t xml:space="preserve">: có ý nghĩa thống kê dương trên toàn mẫu (~41% nâng mức năng suất mỗi đơn vị SD). Tuy nhiên, tương tác FSTS×TCI và FSTS²×TCI</w:t>
      </w:r>
      <w:r>
        <w:t xml:space="preserve"> </w:t>
      </w:r>
      <w:r>
        <w:rPr>
          <w:bCs/>
          <w:b/>
        </w:rPr>
        <w:t xml:space="preserve">không có ý nghĩa</w:t>
      </w:r>
      <w:r>
        <w:t xml:space="preserve"> </w:t>
      </w:r>
      <w:r>
        <w:t xml:space="preserve">ở toàn mẫu 49 nền kinh tế. H2</w:t>
      </w:r>
      <w:r>
        <w:t xml:space="preserve"> </w:t>
      </w:r>
      <w:r>
        <w:rPr>
          <w:bCs/>
          <w:b/>
        </w:rPr>
        <w:t xml:space="preserve">xác nhận một phần</w:t>
      </w:r>
      <w:r>
        <w:t xml:space="preserve">: TCI là yếu tố nâng mặt bằng năng suất phổ quát, nhưng vai trò uốn đường cong I→P là context-specific (chỉ xuất hiện tại P3 Việt Nam).</w:t>
      </w:r>
    </w:p>
    <w:p>
      <w:pPr>
        <w:numPr>
          <w:ilvl w:val="0"/>
          <w:numId w:val="1003"/>
        </w:numPr>
        <w:pStyle w:val="Compact"/>
      </w:pPr>
      <w:r>
        <w:rPr>
          <w:bCs/>
          <w:b/>
        </w:rPr>
        <w:t xml:space="preserve">DAI</w:t>
      </w:r>
      <w:r>
        <w:t xml:space="preserve">: có hiệu ứng trực tiếp dương và có ý nghĩa trên</w:t>
      </w:r>
      <w:r>
        <w:t xml:space="preserve"> </w:t>
      </w:r>
      <w:r>
        <w:rPr>
          <w:bCs/>
          <w:b/>
        </w:rPr>
        <w:t xml:space="preserve">toàn mẫu</w:t>
      </w:r>
      <w:r>
        <w:t xml:space="preserve"> </w:t>
      </w:r>
      <w:r>
        <w:t xml:space="preserve">(</w:t>
      </w:r>
      <m:oMath>
        <m:acc>
          <m:accPr>
            <m:chr m:val="̂"/>
          </m:accPr>
          <m:e>
            <m:r>
              <m:t>β</m:t>
            </m:r>
          </m:e>
        </m:acc>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~17% lợi thế năng suất). Cả hai tương tác điều tiết đều có ý nghĩa:</w:t>
      </w:r>
      <w:r>
        <w:t xml:space="preserve">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 </w:t>
      </w:r>
      <w:r>
        <w:t xml:space="preserve">(</w:t>
      </w:r>
      <m:oMath>
        <m:r>
          <m:t>p</m:t>
        </m:r>
        <m:r>
          <m:rPr>
            <m:sty m:val="p"/>
          </m:rPr>
          <m:t>&lt;</m:t>
        </m:r>
        <m:r>
          <m:rPr>
            <m:sty m:val="p"/>
          </m:rPr>
          <m:t>,</m:t>
        </m:r>
        <m:r>
          <m:t>01</m:t>
        </m:r>
      </m:oMath>
      <w:r>
        <w:t xml:space="preserve">). DAI×ICRV (</w:t>
      </w:r>
      <m:oMath>
        <m:r>
          <m:t>p</m:t>
        </m:r>
        <m:r>
          <m:rPr>
            <m:sty m:val="p"/>
          </m:rPr>
          <m:t>=</m:t>
        </m:r>
        <m:r>
          <m:rPr>
            <m:sty m:val="p"/>
          </m:rPr>
          <m:t>,</m:t>
        </m:r>
        <m:r>
          <m:t>012</m:t>
        </m:r>
      </m:oMath>
      <w:r>
        <w:t xml:space="preserve">) xác nhận DAI phát huy hiệu quả mạnh hơn tại các bối cảnh thể chế yếu hơn — nhất quán với CDCM (DAI bù đắp cho "institutional voids").</w:t>
      </w:r>
    </w:p>
    <w:p>
      <w:pPr>
        <w:pStyle w:val="FirstParagraph"/>
      </w:pPr>
      <w:r>
        <w:t xml:space="preserve">Kết quả P7 cung cấp bức tranh tổng thể quan trọng: DAI là hiệu ứng phổ quát trên toàn mẫu, nhưng</w:t>
      </w:r>
      <w:r>
        <w:t xml:space="preserve"> </w:t>
      </w:r>
      <w:r>
        <w:rPr>
          <w:bCs/>
          <w:b/>
        </w:rPr>
        <w:t xml:space="preserve">cơ chế cụ thể</w:t>
      </w:r>
      <w:r>
        <w:t xml:space="preserve"> </w:t>
      </w:r>
      <w:r>
        <w:t xml:space="preserve">(mức độ và hướng điều tiết đường cong) phụ thuộc vào bối cảnh ICRV — nhất quán với luận điểm CDCM về "nguồn lực tình huống".</w:t>
      </w:r>
    </w:p>
    <w:p>
      <w:r>
        <w:pict>
          <v:rect style="width:0;height:1.5pt" o:hralign="center" o:hrstd="t" o:hr="t"/>
        </w:pict>
      </w:r>
    </w:p>
    <w:bookmarkEnd w:id="41"/>
    <w:bookmarkEnd w:id="42"/>
    <w:bookmarkStart w:id="46" w:name="X515d1af7c14af57822a3e466f5faf3162bb1ab1"/>
    <w:p>
      <w:pPr>
        <w:pStyle w:val="Heading2"/>
      </w:pPr>
      <w:r>
        <w:t xml:space="preserve">4.6 Kết quả trường hợp biên SIDS — Các nền kinh tế đảo nhỏ đang phát triển (P8)</w:t>
      </w:r>
    </w:p>
    <w:bookmarkStart w:id="43" w:name="X7e5a25ed04d464a39ec903e0f1bd3583f9af729"/>
    <w:p>
      <w:pPr>
        <w:pStyle w:val="Heading3"/>
      </w:pPr>
      <w:r>
        <w:t xml:space="preserve">4.6.1 Đặc điểm mẫu SIDS</w:t>
      </w:r>
    </w:p>
    <w:p>
      <w:pPr>
        <w:pStyle w:val="FirstParagraph"/>
      </w:pPr>
      <w:r>
        <w:t xml:space="preserve">Phân tích P8 tập trung vào chín quốc gia SIDS Thái Bình Dương (Pacific Small Island Developing States — Nhóm VI) với tổng</w:t>
      </w:r>
      <w:r>
        <w:t xml:space="preserve"> </w:t>
      </w:r>
      <m:oMath>
        <m:r>
          <m:t>N</m:t>
        </m:r>
        <m:r>
          <m:rPr>
            <m:sty m:val="p"/>
          </m:rPr>
          <m:t>=</m:t>
        </m:r>
        <m:r>
          <m:t>1.469</m:t>
        </m:r>
      </m:oMath>
      <w:r>
        <w:t xml:space="preserve"> </w:t>
      </w:r>
      <w:r>
        <w:t xml:space="preserve">doanh nghiệp, trong đó chỉ</w:t>
      </w:r>
      <w:r>
        <w:t xml:space="preserve"> </w:t>
      </w:r>
      <m:oMath>
        <m:sSub>
          <m:e>
            <m:r>
              <m:t>N</m:t>
            </m:r>
          </m:e>
          <m:sub>
            <m:r>
              <m:rPr>
                <m:nor/>
                <m:sty m:val="p"/>
              </m:rPr>
              <m:t>exporters</m:t>
            </m:r>
          </m:sub>
        </m:sSub>
        <m:r>
          <m:rPr>
            <m:sty m:val="p"/>
          </m:rPr>
          <m:t>=</m:t>
        </m:r>
        <m:r>
          <m:t>187</m:t>
        </m:r>
      </m:oMath>
      <w:r>
        <w:t xml:space="preserve"> </w:t>
      </w:r>
      <w:r>
        <w:t xml:space="preserve">(chiếm 12,7% mẫu). Tỷ lệ doanh thu xuất khẩu trung bình rất thấp: mean FSTS = 0,060 (6,0%). Cấu trúc mẫu này phản ánh thực tế kinh tế của các nền kinh tế SIDS: thị trường nội địa nhỏ, xuất khẩu không phải là lựa chọn chiến lược chủ động mà thường là phản ứng với áp lực từ bên ngoài do giới hạn nhu cầu nội địa.</w:t>
      </w:r>
    </w:p>
    <w:bookmarkEnd w:id="43"/>
    <w:bookmarkStart w:id="44" w:name="X6260f847af424e7f84b1102579be5299c4b8bbf"/>
    <w:p>
      <w:pPr>
        <w:pStyle w:val="Heading3"/>
      </w:pPr>
      <w:r>
        <w:t xml:space="preserve">4.6.2 Hiệu ứng âm đơn điệu —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fixed effects và year fixed effects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p</m:t>
          </m:r>
          <m:r>
            <m:rPr>
              <m:sty m:val="p"/>
            </m:rPr>
            <m:t>=</m:t>
          </m:r>
          <m:r>
            <m:rPr>
              <m:sty m:val="p"/>
            </m:rPr>
            <m:t>,</m:t>
          </m:r>
          <m:sSup>
            <m:e>
              <m:r>
                <m:t>032</m:t>
              </m:r>
            </m:e>
            <m:sup>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kinh doanh càng</w:t>
      </w:r>
      <w:r>
        <w:t xml:space="preserve"> </w:t>
      </w:r>
      <w:r>
        <w:rPr>
          <w:bCs/>
          <w:b/>
        </w:rPr>
        <w:t xml:space="preserve">thấp hơn</w:t>
      </w:r>
      <w:r>
        <w:t xml:space="preserve"> </w:t>
      </w:r>
      <w:r>
        <w:t xml:space="preserve">— quan hệ âm đơn điệu. Kết quả này không theo dạng chữ U ngược hay S-curve của tất cả các bối cảnh khác.</w:t>
      </w:r>
    </w:p>
    <w:p>
      <w:pPr>
        <w:pStyle w:val="BodyText"/>
      </w:pPr>
      <w:r>
        <w:t xml:space="preserve">Trong mẫu chỉ gồm doanh nghiệp xuất khẩu (exporters-only), hệ số âm còn mạnh hơn:</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sSup>
            <m:e>
              <m:r>
                <m:t>027</m:t>
              </m:r>
            </m:e>
            <m:sup>
              <m:r>
                <m:rPr>
                  <m:sty m:val="p"/>
                </m:rPr>
                <m:t>*</m:t>
              </m:r>
            </m:sup>
          </m:sSup>
        </m:oMath>
      </m:oMathPara>
    </w:p>
    <w:p>
      <w:pPr>
        <w:pStyle w:val="FirstParagraph"/>
      </w:pPr>
      <w:r>
        <w:t xml:space="preserve">Với mô hình year-FE-only (không có country FE để kiểm tra độ vững):</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236</m:t>
          </m:r>
          <m:r>
            <m:rPr>
              <m:sty m:val="p"/>
            </m:rPr>
            <m:t>,</m:t>
          </m:r>
          <m:r>
            <m:t> </m:t>
          </m:r>
          <m:r>
            <m:t>p</m:t>
          </m:r>
          <m:r>
            <m:rPr>
              <m:sty m:val="p"/>
            </m:rPr>
            <m:t>&lt;</m:t>
          </m:r>
          <m:r>
            <m:rPr>
              <m:sty m:val="p"/>
            </m:rPr>
            <m:t>,</m:t>
          </m:r>
          <m:sSup>
            <m:e>
              <m:r>
                <m:t>001</m:t>
              </m:r>
            </m:e>
            <m:sup>
              <m:r>
                <m:rPr>
                  <m:sty m:val="p"/>
                </m:rPr>
                <m:t>*</m:t>
              </m:r>
              <m:r>
                <m:rPr>
                  <m:sty m:val="p"/>
                </m:rPr>
                <m:t>*</m:t>
              </m:r>
              <m:r>
                <m:rPr>
                  <m:sty m:val="p"/>
                </m:rPr>
                <m:t>*</m:t>
              </m:r>
            </m:sup>
          </m:sSup>
        </m:oMath>
      </m:oMathPara>
    </w:p>
    <w:p>
      <w:pPr>
        <w:pStyle w:val="FirstParagraph"/>
      </w:pPr>
      <w:r>
        <w:t xml:space="preserve">Ba specification nhất quán về chiều âm và ý nghĩa thống kê xác nhận rằng đây không phải là kết quả ngẫu nhiên do đặc thù mô hình.</w:t>
      </w:r>
    </w:p>
    <w:p>
      <w:pPr>
        <w:pStyle w:val="BodyText"/>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 không có turning point trong phạm vi dữ liệu.</w:t>
      </w:r>
    </w:p>
    <w:bookmarkEnd w:id="44"/>
    <w:bookmarkStart w:id="45" w:name="X5d63ecc045aa1562adc99da760d22f0511574f9"/>
    <w:p>
      <w:pPr>
        <w:pStyle w:val="Heading3"/>
      </w:pPr>
      <w:r>
        <w:t xml:space="preserve">4.6.3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w:t>
      </w:r>
      <w:r>
        <w:t xml:space="preserve">— gánh nặng quốc tế hóa bắt buộc — một construct lý thuyết mới chưa xuất hiện trong literature IB trước đây. Cơ chế giải thích gồm ba yếu tố cấu trúc đặc thù của SIDS:</w:t>
      </w:r>
    </w:p>
    <w:p>
      <w:pPr>
        <w:numPr>
          <w:ilvl w:val="0"/>
          <w:numId w:val="1004"/>
        </w:numPr>
      </w:pPr>
      <w:r>
        <w:rPr>
          <w:bCs/>
          <w:b/>
        </w:rPr>
        <w:t xml:space="preserve">Thị trường nội địa quá nhỏ</w:t>
      </w:r>
      <w:r>
        <w:t xml:space="preserve">: doanh nghiệp SIDS buộc phải xuất khẩu không phải vì có lợi thế cạnh tranh mà vì nhu cầu nội địa không đủ để duy trì hoạt động. Đây là quốc tế hóa bắt buộc (forced internationalization), không phải quốc tế hóa chiến lược (strategic internationalization).</w:t>
      </w:r>
    </w:p>
    <w:p>
      <w:pPr>
        <w:numPr>
          <w:ilvl w:val="0"/>
          <w:numId w:val="1004"/>
        </w:numPr>
      </w:pPr>
      <w:r>
        <w:rPr>
          <w:bCs/>
          <w:b/>
        </w:rPr>
        <w:t xml:space="preserve">Chi phí hậu cần và tiếp cận thị trường cực cao</w:t>
      </w:r>
      <w:r>
        <w:t xml:space="preserve">: vị trí địa lý xa xôi và phân tán của các đảo SIDS tạo ra chi phí vận chuyển, logistics và giao dịch xuyên biên giới không tỷ lệ với giá trị hàng hóa có thể xuất khẩu.</w:t>
      </w:r>
    </w:p>
    <w:p>
      <w:pPr>
        <w:numPr>
          <w:ilvl w:val="0"/>
          <w:numId w:val="1004"/>
        </w:numPr>
      </w:pPr>
      <w:r>
        <w:rPr>
          <w:bCs/>
          <w:b/>
        </w:rPr>
        <w:t xml:space="preserve">Thiếu hỗ trợ thể chế và năng lực xuất khẩu</w:t>
      </w:r>
      <w:r>
        <w:t xml:space="preserve">: môi trường thể chế yếu (thể hiện qua kết quả DAI null trong P7), thiếu hỗ trợ chính sách xuất khẩu, và năng lực tổ chức hạn chế khiến cho việc quản lý hoạt động quốc tế hóa vượt quá khả năng của phần lớn doanh nghiệp SIDS.</w:t>
      </w:r>
    </w:p>
    <w:p>
      <w:pPr>
        <w:pStyle w:val="FirstParagraph"/>
      </w:pPr>
      <w:r>
        <w:t xml:space="preserve">Kết quả FIP là đóng góp lý thuyết gốc của luận án — lần đầu tiên được ghi nhận và đặt tên trong literature internationalization–firm performance cho khu vực Thái Bình Dương.</w:t>
      </w:r>
    </w:p>
    <w:p>
      <w:r>
        <w:pict>
          <v:rect style="width:0;height:1.5pt" o:hralign="center" o:hrstd="t" o:hr="t"/>
        </w:pict>
      </w:r>
    </w:p>
    <w:bookmarkEnd w:id="45"/>
    <w:bookmarkEnd w:id="46"/>
    <w:bookmarkStart w:id="47" w:name="X9900e071ef3c2c84f8fdd7a95ae52c6a2109bb4"/>
    <w:p>
      <w:pPr>
        <w:pStyle w:val="Heading2"/>
      </w:pPr>
      <w:r>
        <w:t xml:space="preserve">4.7 Tổng hợp kết quả theo hệ giả thuyết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inverted-U</w:t>
            </w:r>
          </w:p>
        </w:tc>
        <w:tc>
          <w:tcPr/>
          <w:p>
            <w:pPr>
              <w:pStyle w:val="Compact"/>
              <w:jc w:val="left"/>
            </w:pPr>
            <w:r>
              <w:t xml:space="preserve">Xác nhận tại Singapore, Trung Quốc, Việt Nam, và toàn mẫu P7 (ngoại trừ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uốn đường cong xác nhận tại Việt Nam nhưng NS tại toàn mẫu P7 (49 nền kinh tế)</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Xác nhận: DAI có level effect phổ quát (β=+0,155***) và cả hai curvature interactions có ý nghĩa trong P7 (49 nền kinh tế); DAI×ICRV p=.012 — "digital shield" mạnh nhất khi thể chế yếu; null tại Việt Nam (Tier-1 only) là kết quả tương thích do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Kết quả hỗn hợp — báo cáo trong P7 nhưng không được tổng kết trong chương này do phạm vi</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mạnh mẽ:</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 từ P6 MARA và gradient ICRV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 SIDS boundary condition)</w:t>
            </w:r>
          </w:p>
        </w:tc>
        <w:tc>
          <w:tcPr/>
          <w:p>
            <w:pPr>
              <w:pStyle w:val="Compact"/>
              <w:jc w:val="left"/>
            </w:pPr>
            <w:r>
              <w:t xml:space="preserve">Quan hệ âm đơn điệu tại SIDS</w:t>
            </w:r>
          </w:p>
        </w:tc>
        <w:tc>
          <w:tcPr/>
          <w:p>
            <w:pPr>
              <w:pStyle w:val="Compact"/>
              <w:jc w:val="left"/>
            </w:pPr>
            <w:r>
              <w:t xml:space="preserve">Xác nhận mạnh mẽ:</w:t>
            </w:r>
            <w:r>
              <w:t xml:space="preserve"> </w:t>
            </w:r>
            <m:oMath>
              <m:r>
                <m:t>β</m:t>
              </m:r>
              <m:r>
                <m:rPr>
                  <m:sty m:val="p"/>
                </m:rPr>
                <m:t>=</m:t>
              </m:r>
              <m:r>
                <m:rPr>
                  <m:sty m:val="p"/>
                </m:rPr>
                <m:t>−</m:t>
              </m:r>
              <m:r>
                <m:t>0</m:t>
              </m:r>
              <m:r>
                <m:rPr>
                  <m:sty m:val="p"/>
                </m:rPr>
                <m:t>,</m:t>
              </m:r>
              <m:sSup>
                <m:e>
                  <m:r>
                    <m:t>404</m:t>
                  </m:r>
                </m:e>
                <m:sup>
                  <m:r>
                    <m:rPr>
                      <m:sty m:val="p"/>
                    </m:rPr>
                    <m:t>*</m:t>
                  </m:r>
                </m:sup>
              </m:sSup>
            </m:oMath>
            <w:r>
              <w:t xml:space="preserve"> </w:t>
            </w:r>
            <w:r>
              <w:t xml:space="preserve">đến</w:t>
            </w:r>
            <w:r>
              <w:t xml:space="preserve"> </w:t>
            </w:r>
            <m:oMath>
              <m:r>
                <m:rPr>
                  <m:sty m:val="p"/>
                </m:rPr>
                <m:t>−</m:t>
              </m:r>
              <m:r>
                <m:t>1</m:t>
              </m:r>
              <m:r>
                <m:rPr>
                  <m:sty m:val="p"/>
                </m:rPr>
                <m:t>,</m:t>
              </m:r>
              <m:sSup>
                <m:e>
                  <m:r>
                    <m:t>236</m:t>
                  </m:r>
                </m:e>
                <m:sup>
                  <m:r>
                    <m:rPr>
                      <m:sty m:val="p"/>
                    </m:rPr>
                    <m:t>*</m:t>
                  </m:r>
                  <m:r>
                    <m:rPr>
                      <m:sty m:val="p"/>
                    </m:rPr>
                    <m:t>*</m:t>
                  </m:r>
                  <m:r>
                    <m:rPr>
                      <m:sty m:val="p"/>
                    </m:rPr>
                    <m:t>*</m:t>
                  </m:r>
                </m:sup>
              </m:sSup>
            </m:oMath>
            <w:r>
              <w:t xml:space="preserve"> </w:t>
            </w:r>
            <w:r>
              <w:t xml:space="preserve">tuỳ specification</w:t>
            </w:r>
          </w:p>
        </w:tc>
      </w:tr>
    </w:tbl>
    <w:p>
      <w:r>
        <w:pict>
          <v:rect style="width:0;height:1.5pt" o:hralign="center" o:hrstd="t" o:hr="t"/>
        </w:pict>
      </w:r>
    </w:p>
    <w:bookmarkEnd w:id="47"/>
    <w:bookmarkEnd w:id="48"/>
    <w:bookmarkStart w:id="78" w:name="Xc1ed2bcff80d0fb5b704d4f6dbdf97fdea0e1d7"/>
    <w:p>
      <w:pPr>
        <w:pStyle w:val="Heading1"/>
      </w:pPr>
      <w:r>
        <w:t xml:space="preserve">CHƯƠNG 5: BÀN LUẬN, KẾT LUẬN VÀ HÀM Ý CHÍNH SÁCH</w:t>
      </w:r>
    </w:p>
    <w:p>
      <w:r>
        <w:pict>
          <v:rect style="width:0;height:1.5pt" o:hralign="center" o:hrstd="t" o:hr="t"/>
        </w:pict>
      </w:r>
    </w:p>
    <w:bookmarkStart w:id="49"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hàm ý chính sách và quản trị; (v) hạn chế và hướng nghiên cứu tương lai; và (vi) kết luận tổng thể của luận án.</w:t>
      </w:r>
    </w:p>
    <w:p>
      <w:r>
        <w:pict>
          <v:rect style="width:0;height:1.5pt" o:hralign="center" o:hrstd="t" o:hr="t"/>
        </w:pict>
      </w:r>
    </w:p>
    <w:bookmarkEnd w:id="49"/>
    <w:bookmarkStart w:id="54" w:name="Xa49aadb40c127a83ebe1d91ac222e3bdb8617c2"/>
    <w:p>
      <w:pPr>
        <w:pStyle w:val="Heading2"/>
      </w:pPr>
      <w:r>
        <w:t xml:space="preserve">5.1 Bàn luận kết quả theo khung lý thuyết CDCM</w:t>
      </w:r>
    </w:p>
    <w:bookmarkStart w:id="50" w:name="X751baa465f16b11eec18b61295bd32c9b23dafc"/>
    <w:p>
      <w:pPr>
        <w:pStyle w:val="Heading3"/>
      </w:pPr>
      <w:r>
        <w:t xml:space="preserve">5.1.1 ICRV Gradient —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w:t>
      </w:r>
      <w:r>
        <w:t xml:space="preserve">: cùng một mức độ quốc tế hóa (FSTS) mang lại hiệu quả rất khác nhau tùy thuộc vào chế độ thể chế mà doanh nghiệp hoạt động. Bằng chứng từ hai nguồn độc lập — phân tích meta-analytic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phân tích dữ liệu sơ cấp toàn mẫu (P7,</w:t>
      </w:r>
      <w:r>
        <w:t xml:space="preserve"> </w:t>
      </w:r>
      <m:oMath>
        <m:r>
          <m:t>N</m:t>
        </m:r>
        <m:r>
          <m:rPr>
            <m:sty m:val="p"/>
          </m:rPr>
          <m:t>=</m:t>
        </m:r>
        <m:r>
          <m:t>84.910</m:t>
        </m:r>
      </m:oMath>
      <w:r>
        <w:t xml:space="preserve"> </w:t>
      </w:r>
      <w:r>
        <w:t xml:space="preserve">từ 49 nền kinh tế) — đều chỉ đến cùng một kết luận: turning point của quan hệ I→P</w:t>
      </w:r>
      <w:r>
        <w:t xml:space="preserve"> </w:t>
      </w:r>
      <w:r>
        <w:rPr>
          <w:bCs/>
          <w:b/>
        </w:rPr>
        <w:t xml:space="preserve">giảm dần</w:t>
      </w:r>
      <w:r>
        <w:t xml:space="preserve"> </w:t>
      </w:r>
      <w:r>
        <w:t xml:space="preserve">từ SIDS/Frontier (~55% FSTS) xuống Emerging, Upper-middle, Advanced Resource, và Advanced Innovation (~28% FSTS) — tức là nền kinh tế thể chế mạnh hơn đạt đỉnh hiệu quả tại mức FSTS thấp hơn.</w:t>
      </w:r>
    </w:p>
    <w:p>
      <w:pPr>
        <w:pStyle w:val="BodyText"/>
      </w:pPr>
      <w:r>
        <w:t xml:space="preserve">Kết quả này xác nhận H5 và tầng thể chế của khung lý thuyết CDCM theo một cách thuyết phục nhất: không phải chỉ một moderator đơn lẻ mà là</w:t>
      </w:r>
      <w:r>
        <w:t xml:space="preserve"> </w:t>
      </w:r>
      <w:r>
        <w:rPr>
          <w:bCs/>
          <w:b/>
        </w:rPr>
        <w:t xml:space="preserve">cả một chế độ thể chế</w:t>
      </w:r>
      <w:r>
        <w:t xml:space="preserve"> </w:t>
      </w:r>
      <w:r>
        <w:t xml:space="preserve">— được vận hành hóa thành sáu sub-regime ICRV — xác định điều kiện biên cho quan hệ I→P. Institutional Theory của North (1990) và Khanna và Palepu (2010) dự đoán rằng thể chế định hình chi phí giao dịch và cấu trúc khuyến khích; kết quả ICRV gradient là biểu hiện thực nghiệm của cơ chế này ở quy mô 49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w:t>
      </w:r>
    </w:p>
    <w:bookmarkEnd w:id="50"/>
    <w:bookmarkStart w:id="51" w:name="X49fe7c9f8cdd3930e11cda3dd359bf7233b04b5"/>
    <w:p>
      <w:pPr>
        <w:pStyle w:val="Heading3"/>
      </w:pPr>
      <w:r>
        <w:t xml:space="preserve">5.1.2 TCI là Năng Lực Nền Tảng — Xác nhận H2</w:t>
      </w:r>
    </w:p>
    <w:p>
      <w:pPr>
        <w:pStyle w:val="FirstParagraph"/>
      </w:pPr>
      <w:r>
        <w:t xml:space="preserve">Technological Capability Index (TCI) nhất quán cho thấy</w:t>
      </w:r>
      <w:r>
        <w:t xml:space="preserve"> </w:t>
      </w:r>
      <w:r>
        <w:rPr>
          <w:bCs/>
          <w:b/>
        </w:rPr>
        <w:t xml:space="preserve">hiệu ứng nâng mặt bằng năng suất dương</w:t>
      </w:r>
      <w:r>
        <w:t xml:space="preserve"> </w:t>
      </w:r>
      <w:r>
        <w:t xml:space="preserve">tại tất cả các mẫu (Việt Nam P3, Trung Quốc P5, toàn mẫu P7: ~41% tăng năng suất/đơn vị SD). TCI chỉ</w:t>
      </w:r>
      <w:r>
        <w:t xml:space="preserve"> </w:t>
      </w:r>
      <w:r>
        <w:rPr>
          <w:bCs/>
          <w:b/>
        </w:rPr>
        <w:t xml:space="preserve">điều tiết hình dạng đường cong I→P</w:t>
      </w:r>
      <w:r>
        <w:t xml:space="preserve"> </w:t>
      </w:r>
      <w:r>
        <w:t xml:space="preserve">tại bối cảnh quốc gia cụ thể (P3 Việt Nam); ở toàn mẫu P7 (49 nền kinh tế đa dạng thể chế), tương tác FSTS×TCI không có ý nghĩa. H2 được</w:t>
      </w:r>
      <w:r>
        <w:t xml:space="preserve"> </w:t>
      </w:r>
      <w:r>
        <w:rPr>
          <w:bCs/>
          <w:b/>
        </w:rPr>
        <w:t xml:space="preserve">xác nhận một phần</w:t>
      </w:r>
      <w:r>
        <w:t xml:space="preserve">,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 được đo bằng tiếp cận công nghệ nước ngoài, chi tiêu R&amp;D, đổi mới sản phẩm và chứng nhận chất lượng — tạo ra giá trị cao hơn từ cùng một mức độ quốc tế hóa, nhưng vai trò uốn đường cong là context-contingent.</w:t>
      </w:r>
    </w:p>
    <w:p>
      <w:pPr>
        <w:pStyle w:val="BodyText"/>
      </w:pPr>
      <w:r>
        <w:t xml:space="preserve">Cơ chế lý thuyết đằng sau kết quả này bắt nguồn từ Resource-Based View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absorptive capacity (Cohen &amp; Levinthal, 1990) — khả năng hấp thu và tích hợp tri thức từ thị trường nước ngoài — giúp doanh nghiệp học hỏi hiệu quả hơn trong quá trình quốc tế hóa, nhất quán với learning loop của Uppsala model (Johanson &amp; Vahlne, 1977).</w:t>
      </w:r>
    </w:p>
    <w:bookmarkEnd w:id="51"/>
    <w:bookmarkStart w:id="52" w:name="Xa91918a719079ebfa81edd5c575587c3bf67faa"/>
    <w:p>
      <w:pPr>
        <w:pStyle w:val="Heading3"/>
      </w:pPr>
      <w:r>
        <w:t xml:space="preserve">5.1.3 DAI là Nguồn Lực Tình Huống — Hỗ trợ một phần H3</w:t>
      </w:r>
    </w:p>
    <w:p>
      <w:pPr>
        <w:pStyle w:val="FirstParagraph"/>
      </w:pPr>
      <w:r>
        <w:t xml:space="preserve">Kết quả về Digital Adoption Index (DAI) phức tạp hơn và có nhiều sắc thái hơn so với TCI. Trên toàn mẫu P7, DAI có hiệu ứng nâng mặt bằng dương (</w:t>
      </w:r>
      <m:oMath>
        <m:acc>
          <m:accPr>
            <m:chr m:val="̂"/>
          </m:accPr>
          <m:e>
            <m:r>
              <m:t>β</m:t>
            </m:r>
          </m:e>
        </m:acc>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và cả hai tương tác điều tiết đường cong đều có ý nghĩa (FSTS×DAI</w:t>
      </w:r>
      <w:r>
        <w:t xml:space="preserve"> </w:t>
      </w:r>
      <m:oMath>
        <m:r>
          <m:t>p</m:t>
        </m:r>
        <m:r>
          <m:rPr>
            <m:sty m:val="p"/>
          </m:rPr>
          <m:t>&lt;</m:t>
        </m:r>
        <m:r>
          <m:rPr>
            <m:sty m:val="p"/>
          </m:rPr>
          <m:t>,</m:t>
        </m:r>
        <m:r>
          <m:t>001</m:t>
        </m:r>
      </m:oMath>
      <w:r>
        <w:t xml:space="preserve">; FSTS²×DAI</w:t>
      </w:r>
      <w:r>
        <w:t xml:space="preserve"> </w:t>
      </w:r>
      <m:oMath>
        <m:r>
          <m:t>p</m:t>
        </m:r>
        <m:r>
          <m:rPr>
            <m:sty m:val="p"/>
          </m:rPr>
          <m:t>&lt;</m:t>
        </m:r>
        <m:r>
          <m:rPr>
            <m:sty m:val="p"/>
          </m:rPr>
          <m:t>,</m:t>
        </m:r>
        <m:r>
          <m:t>01</m:t>
        </m:r>
      </m:oMath>
      <w:r>
        <w:t xml:space="preserve">). Tương tác DAI×ICRV (</w:t>
      </w:r>
      <m:oMath>
        <m:r>
          <m:t>p</m:t>
        </m:r>
        <m:r>
          <m:rPr>
            <m:sty m:val="p"/>
          </m:rPr>
          <m:t>=</m:t>
        </m:r>
        <m:r>
          <m:rPr>
            <m:sty m:val="p"/>
          </m:rPr>
          <m:t>,</m:t>
        </m:r>
        <m:r>
          <m:t>012</m:t>
        </m:r>
      </m:oMath>
      <w:r>
        <w:t xml:space="preserve">) xác nhận DAI mạnh hơn tại bối cảnh thể chế yếu hơn — ngụ ý DAI bù đắp cho thiếu hụt thể chế hơn là khuếch đại lợi thế thể chế đã có. Tại Singapore (P4, DAI Tier-1+2), DAI phát huy rõ dưới dạng amplification effect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 Tại Việt Nam (P3, Tier-1 only, IV-estimated), DAI null phản ánh hạn chế đo lường và selection bias hơn là bác bỏ H3.</w:t>
      </w:r>
    </w:p>
    <w:p>
      <w:pPr>
        <w:pStyle w:val="BodyText"/>
      </w:pPr>
      <w:r>
        <w:t xml:space="preserve">Kết quả này hỗ trợ lập luận trong khung CDCM rằng DAI là</w:t>
      </w:r>
      <w:r>
        <w:t xml:space="preserve"> </w:t>
      </w:r>
      <w:r>
        <w:rPr>
          <w:bCs/>
          <w:b/>
        </w:rPr>
        <w:t xml:space="preserve">nguồn lực tình huống</w:t>
      </w:r>
      <w:r>
        <w:t xml:space="preserve"> </w:t>
      </w:r>
      <w:r>
        <w:t xml:space="preserve">(situational resource): bản thân hiệu ứng nâng mặt bằng là phổ quát, nhưng</w:t>
      </w:r>
      <w:r>
        <w:t xml:space="preserve"> </w:t>
      </w:r>
      <w:r>
        <w:rPr>
          <w:bCs/>
          <w:b/>
        </w:rPr>
        <w:t xml:space="preserve">cơ chế và độ lớn</w:t>
      </w:r>
      <w:r>
        <w:t xml:space="preserve"> </w:t>
      </w:r>
      <w:r>
        <w:t xml:space="preserve">của việc điều tiết đường cong I→P phụ thuộc bối cảnh ICRV. DAI×ICRV (</w:t>
      </w:r>
      <m:oMath>
        <m:r>
          <m:t>p</m:t>
        </m:r>
        <m:r>
          <m:rPr>
            <m:sty m:val="p"/>
          </m:rPr>
          <m:t>=</m:t>
        </m:r>
        <m:r>
          <m:rPr>
            <m:sty m:val="p"/>
          </m:rPr>
          <m:t>,</m:t>
        </m:r>
        <m:r>
          <m:t>012</m:t>
        </m:r>
      </m:oMath>
      <w:r>
        <w:t xml:space="preserve">) cho thấy DAI mạnh hơn tại thể chế yếu — "digital shield" bù đắp cho thiếu hụt thể chế, ngược với quan niệm truyền thống rằng DAI chỉ khuếch đại lợi thế đã có. Đây là điểm phân biệt quan trọng giữa TCI (foundational capability phổ quát) và DAI (situational resource với cơ chế phụ thuộc bối cảnh) trong đóng góp lý thuyết của luận án.</w:t>
      </w:r>
    </w:p>
    <w:p>
      <w:pPr>
        <w:pStyle w:val="BodyText"/>
      </w:pPr>
      <w:r>
        <w:t xml:space="preserve">Kết quả null về DAI tại Việt Nam (P3) phản ánh hạn chế đo lường (Tier-1 only, selection bias trong IV estimate) hơn là bác bỏ H3. Khi DAI được đo bằng Tier-1+2 như tại Singapore, hiệu ứng điều tiết xuất hiện rõ ràng hơn. Tất cả đo lường DAI trong luận án là</w:t>
      </w:r>
      <w:r>
        <w:t xml:space="preserve"> </w:t>
      </w:r>
      <w:r>
        <w:rPr>
          <w:bCs/>
          <w:b/>
        </w:rPr>
        <w:t xml:space="preserve">chỉ số chấp nhận số tĩnh</w:t>
      </w:r>
      <w:r>
        <w:t xml:space="preserve"> </w:t>
      </w:r>
      <w:r>
        <w:t xml:space="preserve">— không phải "dynamic digital capability" vì dữ liệu WBES không có đủ thang đo để đo lường tính động.</w:t>
      </w:r>
    </w:p>
    <w:bookmarkEnd w:id="52"/>
    <w:bookmarkStart w:id="53" w:name="Xcb7f2ad84aa9055072bb14b3529192ba58d8037"/>
    <w:p>
      <w:pPr>
        <w:pStyle w:val="Heading3"/>
      </w:pPr>
      <w:r>
        <w:t xml:space="preserve">5.1.4 FIP là Điều Kiện Biên Cực Đoan — H1b cho SIDS</w:t>
      </w:r>
    </w:p>
    <w:p>
      <w:pPr>
        <w:pStyle w:val="FirstParagraph"/>
      </w:pPr>
      <w:r>
        <w:t xml:space="preserve">Forced Internationalization Penalty (FIP) tại các nền kinh tế SIDS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mạnh hơn trong exporters-only)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 thì quốc tế hóa không chỉ dừng ở mức không mang lại lợi ích mà còn gây tổn hại thực sự đến hiệu quả hoạt động kinh doanh.</w:t>
      </w:r>
    </w:p>
    <w:p>
      <w:pPr>
        <w:pStyle w:val="BodyText"/>
      </w:pPr>
      <w:r>
        <w:t xml:space="preserve">Quan hệ âm đơn điệu này khác về bản chất với quan hệ phi tuyến chữ U ngược: không có turning point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literature I→P.</w:t>
      </w:r>
    </w:p>
    <w:p>
      <w:r>
        <w:pict>
          <v:rect style="width:0;height:1.5pt" o:hralign="center" o:hrstd="t" o:hr="t"/>
        </w:pict>
      </w:r>
    </w:p>
    <w:bookmarkEnd w:id="53"/>
    <w:bookmarkEnd w:id="54"/>
    <w:bookmarkStart w:id="58" w:name="X03371f9bf2ea7aa70b56c3fc263517b182b20aa"/>
    <w:p>
      <w:pPr>
        <w:pStyle w:val="Heading2"/>
      </w:pPr>
      <w:r>
        <w:t xml:space="preserve">5.2 So sánh với nghiên cứu trước đây</w:t>
      </w:r>
    </w:p>
    <w:bookmarkStart w:id="55" w:name="X6d63d205c02653fac9abe4b7c3c003ccf604ac6"/>
    <w:p>
      <w:pPr>
        <w:pStyle w:val="Heading3"/>
      </w:pPr>
      <w:r>
        <w:t xml:space="preserve">5.2.1 Nhất quán với baseline ICBEF 2024</w:t>
      </w:r>
    </w:p>
    <w:p>
      <w:pPr>
        <w:pStyle w:val="FirstParagraph"/>
      </w:pPr>
      <w:r>
        <w:t xml:space="preserve">Kết quả pooled effect</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meta-analysis baseline đã công bố tại hội nghị ICBEF 2024 (Đỗ &amp; Phan, 2024). Sự hội tụ này là đáng kể vì P6 mở rộng pool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pooled effect khi mở rộng pool nghiên cứu là bằng chứng về tính ổn định của baseline ước lượng.</w:t>
      </w:r>
    </w:p>
    <w:p>
      <w:pPr>
        <w:pStyle w:val="BodyText"/>
      </w:pPr>
      <w:r>
        <w:t xml:space="preserve">Tuy nhiên, đóng góp của P6 so với baseline không phải ở pooled</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meta đơn tầng không cung cấp. Điều này thay đổi hiểu biết về nguồn gốc của heterogeneity trong literature — vấn đề chủ yếu là</w:t>
      </w:r>
      <w:r>
        <w:t xml:space="preserve"> </w:t>
      </w:r>
      <w:r>
        <w:rPr>
          <w:bCs/>
          <w:b/>
        </w:rPr>
        <w:t xml:space="preserve">đo lường bên trong nghiên cứu</w:t>
      </w:r>
      <w:r>
        <w:t xml:space="preserve">, không phải sự bất đồng căn bản giữa các nghiên cứu.</w:t>
      </w:r>
    </w:p>
    <w:bookmarkEnd w:id="55"/>
    <w:bookmarkStart w:id="56" w:name="X3dc86f682c3e5e98bd0a470c7f8482e8e79f6fb"/>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I→P. Lu và Beamish (2004) tìm turning point khoảng 60% FSTS trong mẫu doanh nghiệp Nhật Bản, trong khi Contractor et al. (2003) đề xuất S-curve ba giai đoạn. Luận án này vượt qua hai công trình đó theo ba hướng:</w:t>
      </w:r>
    </w:p>
    <w:p>
      <w:pPr>
        <w:pStyle w:val="BodyText"/>
      </w:pPr>
      <w:r>
        <w:rPr>
          <w:bCs/>
          <w:b/>
        </w:rPr>
        <w:t xml:space="preserve">Thứ nhất</w:t>
      </w:r>
      <w:r>
        <w:t xml:space="preserve">, luận án chứng minh rằng turning point</w:t>
      </w:r>
      <w:r>
        <w:t xml:space="preserve"> </w:t>
      </w:r>
      <w:r>
        <w:rPr>
          <w:bCs/>
          <w:b/>
        </w:rPr>
        <w:t xml:space="preserve">không cố định</w:t>
      </w:r>
      <w:r>
        <w:t xml:space="preserve"> </w:t>
      </w:r>
      <w:r>
        <w:t xml:space="preserve">mà phụ thuộc vào bối cảnh ICRV: từ TP ≈ 82% (Singapore — Advanced Innovation) đến TP ≈ 39,7% (Việt Nam pooled — Lower-mid Transition), với Trung Quốc ở mức trung gian (TP ≈ 48,78%). Không có một turning point phổ quát cho tất cả bối cảnh.</w:t>
      </w:r>
    </w:p>
    <w:p>
      <w:pPr>
        <w:pStyle w:val="BodyText"/>
      </w:pPr>
      <w:r>
        <w:rPr>
          <w:bCs/>
          <w:b/>
        </w:rPr>
        <w:t xml:space="preserve">Thứ hai</w:t>
      </w:r>
      <w:r>
        <w:t xml:space="preserve">, luận án xác định trường hợp biên FIP tại SIDS — không phải là S-curve hay inverted-U mà là quan hệ âm đơn điệu — điều mà cả ba-stage theory lẫn S-curve không dự báo được.</w:t>
      </w:r>
    </w:p>
    <w:p>
      <w:pPr>
        <w:pStyle w:val="BodyText"/>
      </w:pPr>
      <w:r>
        <w:rPr>
          <w:bCs/>
          <w:b/>
        </w:rPr>
        <w:t xml:space="preserve">Thứ ba</w:t>
      </w:r>
      <w:r>
        <w:t xml:space="preserve">, luận án mở rộng khung phân tích từ dữ liệu doanh nghiệp Nhật Bản/đa quốc gia sang 47–49 nền kinh tế châu Á và Thái Bình Dương — bối cảnh underrepresented trong literature Lu và Beamish.</w:t>
      </w:r>
    </w:p>
    <w:bookmarkEnd w:id="56"/>
    <w:bookmarkStart w:id="57" w:name="X0883d912591c701a2f1b2fed71cedb09e738376"/>
    <w:p>
      <w:pPr>
        <w:pStyle w:val="Heading3"/>
      </w:pPr>
      <w:r>
        <w:t xml:space="preserve">5.2.3 Mở rộng Marano et al. (2016) — ICRV thay thế binary institutional quality</w:t>
      </w:r>
    </w:p>
    <w:p>
      <w:pPr>
        <w:pStyle w:val="FirstParagraph"/>
      </w:pPr>
      <w:r>
        <w:t xml:space="preserve">Marano et al. (2016) là meta-analysis quan trọng nhất trong literature gần đây, cung cấp bằng chứng về vai trò điều tiết của home country institutions trong I→P relationship. Tuy nhiên, Marano et al. sử dụng phân loại binary (developed vs. emerging) hoặc continuous institutional quality scores.</w:t>
      </w:r>
    </w:p>
    <w:p>
      <w:pPr>
        <w:pStyle w:val="BodyText"/>
      </w:pPr>
      <w:r>
        <w:t xml:space="preserve">Luận án này mở rộng Marano et al. (2016) theo hướng</w:t>
      </w:r>
      <w:r>
        <w:t xml:space="preserve"> </w:t>
      </w:r>
      <w:r>
        <w:rPr>
          <w:bCs/>
          <w:b/>
        </w:rPr>
        <w:t xml:space="preserve">phân loại đa chiều</w:t>
      </w:r>
      <w:r>
        <w:t xml:space="preserve">: ICRV sáu sub-regime nắm bắt được sự đa dạng trong nội bộ nhóm "emerging" (phân biệt Upper-middle Trung Quốc với Lower-mid Việt Nam với Frontier Bangladesh và SIDS) và nhóm "advanced" (phân biệt Advanced Innovation Singapore với Advanced Resource GCC).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 một cải tiến phương pháp so với random-effects meta-analysis đơn tầng của Marano et al. (2016).</w:t>
      </w:r>
    </w:p>
    <w:p>
      <w:r>
        <w:pict>
          <v:rect style="width:0;height:1.5pt" o:hralign="center" o:hrstd="t" o:hr="t"/>
        </w:pict>
      </w:r>
    </w:p>
    <w:bookmarkEnd w:id="57"/>
    <w:bookmarkEnd w:id="58"/>
    <w:bookmarkStart w:id="62" w:name="X358b70cb0587073926db05a46d0ec729e84bb90"/>
    <w:p>
      <w:pPr>
        <w:pStyle w:val="Heading2"/>
      </w:pPr>
      <w:r>
        <w:t xml:space="preserve">5.3 Đóng góp lý thuyết</w:t>
      </w:r>
    </w:p>
    <w:bookmarkStart w:id="59" w:name="X29f632bb883bf22d2c2cdeac758fdcc4dae2054"/>
    <w:p>
      <w:pPr>
        <w:pStyle w:val="Heading3"/>
      </w:pPr>
      <w:r>
        <w:t xml:space="preserve">5.3.1 CDCM — Mở rộng khung lý thuyết về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(β=+0.155, p&lt;.001, mẫu gộp N=84,910 từ 49 nền kinh tế) nhưng vai trò điều tiết đường cong I→P là</w:t>
      </w:r>
      <w:r>
        <w:t xml:space="preserve"> </w:t>
      </w:r>
      <w:r>
        <w:rPr>
          <w:bCs/>
          <w:b/>
        </w:rPr>
        <w:t xml:space="preserve">bối cảnh-phụ thuộc</w:t>
      </w:r>
      <w:r>
        <w:t xml:space="preserve"> </w:t>
      </w:r>
      <w:r>
        <w:t xml:space="preserve">(DAI×ICRV: p=.012) gợi ý rằng DAI không phải là foundational capability (như TCI) mà là</w:t>
      </w:r>
      <w:r>
        <w:t xml:space="preserve"> </w:t>
      </w:r>
      <w:r>
        <w:rPr>
          <w:bCs/>
          <w:b/>
        </w:rPr>
        <w:t xml:space="preserve">situational resource</w:t>
      </w:r>
      <w:r>
        <w:t xml:space="preserve"> </w:t>
      </w:r>
      <w:r>
        <w:t xml:space="preserve">— tài nguyên có vai trò thay đổi theo bối cảnh thể chế. Đặc biệt, DAI×ICRV (p=.012) cho thấy hiệu ứng điều tiết của DAI</w:t>
      </w:r>
      <w:r>
        <w:t xml:space="preserve"> </w:t>
      </w:r>
      <w:r>
        <w:rPr>
          <w:bCs/>
          <w:b/>
        </w:rPr>
        <w:t xml:space="preserve">mạnh hơn</w:t>
      </w:r>
      <w:r>
        <w:t xml:space="preserve"> </w:t>
      </w:r>
      <w:r>
        <w:t xml:space="preserve">tại các nền kinh tế thể chế yếu hơn (Frontier, SIDS), không phải tại Advanced — "digital shield" bù đắp cho thiếu hụt thể chế.</w:t>
      </w:r>
    </w:p>
    <w:p>
      <w:pPr>
        <w:pStyle w:val="BodyText"/>
      </w:pPr>
      <w:r>
        <w:t xml:space="preserve">Điều này có hàm ý lý thuyết quan trọng cho RBV và digital capability literature (Bhandari et al., 2023; Verhoef et al., 2021): không phải mọi nguồn lực số đều tạo ra lợi thế cạnh tranh theo cùng một cơ chế trong mọi bối cảnh. Giá trị của DAI là</w:t>
      </w:r>
      <w:r>
        <w:t xml:space="preserve"> </w:t>
      </w:r>
      <w:r>
        <w:rPr>
          <w:bCs/>
          <w:b/>
        </w:rPr>
        <w:t xml:space="preserve">complementary asset</w:t>
      </w:r>
      <w:r>
        <w:t xml:space="preserve"> </w:t>
      </w:r>
      <w:r>
        <w:t xml:space="preserve">(Teece, 1986) với bối cảnh thể chế —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p>
      <w:pPr>
        <w:pStyle w:val="BodyText"/>
      </w:pPr>
      <w:r>
        <w:t xml:space="preserve">Cần lưu ý thêm một hạn chế quan trọng: trong toàn bộ luận án, DAI được đo lường dựa trên dữ liệu WBES, vốn có quy mô đo lường hạn chế (không đủ để tạo thang đo "dynamic"). Do đó, DAI trong luận án được hiểu là</w:t>
      </w:r>
      <w:r>
        <w:t xml:space="preserve"> </w:t>
      </w:r>
      <w:r>
        <w:rPr>
          <w:bCs/>
          <w:b/>
        </w:rPr>
        <w:t xml:space="preserve">static digital adoption index</w:t>
      </w:r>
      <w:r>
        <w:t xml:space="preserve"> </w:t>
      </w:r>
      <w:r>
        <w:t xml:space="preserve">— mức độ chấp nhận số tại một thời điểm — chứ không phải là "dynamic digital capability" theo nghĩa của dynamic capabilities theory (Teece et al., 1997). Đây là giới hạn về độ trung thực khái niệm mà các nghiên cứu tương lai cần khắc phục.</w:t>
      </w:r>
    </w:p>
    <w:bookmarkEnd w:id="59"/>
    <w:bookmarkStart w:id="60" w:name="X792bf669d8aaad9c154022edb47ba6166013782"/>
    <w:p>
      <w:pPr>
        <w:pStyle w:val="Heading3"/>
      </w:pPr>
      <w:r>
        <w:t xml:space="preserve">5.3.2 FIP — Khái niệm mới về trường hợp biên cho SIDS</w:t>
      </w:r>
    </w:p>
    <w:p>
      <w:pPr>
        <w:pStyle w:val="FirstParagraph"/>
      </w:pPr>
      <w:r>
        <w:t xml:space="preserve">Đóng góp lý thuyết thứ hai là đề xuất và đặt tên cho</w:t>
      </w:r>
      <w:r>
        <w:t xml:space="preserve"> </w:t>
      </w:r>
      <w:r>
        <w:rPr>
          <w:bCs/>
          <w:b/>
        </w:rPr>
        <w:t xml:space="preserve">Forced Internationalization Penalty (FIP)</w:t>
      </w:r>
      <w:r>
        <w:t xml:space="preserve"> </w:t>
      </w:r>
      <w:r>
        <w:t xml:space="preserve">— một construct lý thuyết mới chưa được định danh trong literature kinh doanh quốc tế — như một hiện tượng lý thuyết độc lập, khác biệt về bản chất với "phase 1 downward slope" trong S-curve theory. FIP không phải là giai đoạn đầu của quá trình học hỏi (learning costs) như mô hình Uppsala dự đoán, mà là một trạng thái cấu trúc bất lợi dài hạn: doanh nghiệp SIDS phải xuất khẩu để tồn tại (do thị trường nội địa quá nhỏ) nhưng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"more internationalization" luôn là "worse performance"? Luận án đề xuất rằng FIP xuất hiện khi ba điều kiện đồng thời: (i) thể chế ICRV ở mức thấp nhất, (ii) quy mô nền kinh tế quá nhỏ để tạo cơ sở nội địa, và (iii) thiếu hỗ trợ năng lực xuất khẩu từ chính sách. Kết hợp ba điều kiện này tạo ra "trap" — bẫy quốc tế hóa bắt buộc — mà không có turning point để thoát khỏi.</w:t>
      </w:r>
    </w:p>
    <w:bookmarkEnd w:id="60"/>
    <w:bookmarkStart w:id="61" w:name="Xc949420910752534bec0d1fee728c7a813a2f68"/>
    <w:p>
      <w:pPr>
        <w:pStyle w:val="Heading3"/>
      </w:pPr>
      <w:r>
        <w:t xml:space="preserve">5.3.3 ICRV 6-Regime — Phân loại thể chế đặc thù cho khu vực châu Á — Thái Bình Dương</w:t>
      </w:r>
    </w:p>
    <w:p>
      <w:pPr>
        <w:pStyle w:val="FirstParagraph"/>
      </w:pPr>
      <w:r>
        <w:t xml:space="preserve">Đóng góp lý thuyết thứ ba là phát triển và kiểm định</w:t>
      </w:r>
      <w:r>
        <w:t xml:space="preserve"> </w:t>
      </w:r>
      <w:r>
        <w:rPr>
          <w:bCs/>
          <w:b/>
        </w:rPr>
        <w:t xml:space="preserve">khung ICRV sáu sub-regime</w:t>
      </w:r>
      <w:r>
        <w:t xml:space="preserve"> </w:t>
      </w:r>
      <w:r>
        <w:t xml:space="preserve">như một công cụ phân loại thể chế đặc thù cho khu vực châu Á — Thái Bình Dương, thay thế cho các phân loại binary (developed/emerging) hoặc continuous (WGI scores) trong literature hiện tại.</w:t>
      </w:r>
    </w:p>
    <w:p>
      <w:pPr>
        <w:pStyle w:val="BodyText"/>
      </w:pPr>
      <w:r>
        <w:t xml:space="preserve">ICRV nắm bắt được sự đa dạng thể chế chưa từng được vận hành hóa đầy đủ: sự khác biệt giữa Singapore (Advanced Innovation, kết hợp pháp quyền mạnh và hệ sinh thái đổi mới) với GCC (Advanced Resource, kết hợp giàu tài nguyên nhưng hệ sinh thái đổi mới khác), và sự khác biệt giữa Trung Quốc (Upper-middle, chính phủ can thiệp mạnh) với Việt Nam (Lower-mid Transition, đang trong quá trình cải cách) với Bangladesh (Frontier, institutional voids cao). ICRV không chỉ là taxonomy mô tả mà còn là taxonomy</w:t>
      </w:r>
      <w:r>
        <w:t xml:space="preserve"> </w:t>
      </w:r>
      <w:r>
        <w:rPr>
          <w:bCs/>
          <w:b/>
        </w:rPr>
        <w:t xml:space="preserve">dự đoán</w:t>
      </w:r>
      <w:r>
        <w:t xml:space="preserve">: turning point I→P</w:t>
      </w:r>
      <w:r>
        <w:t xml:space="preserve"> </w:t>
      </w:r>
      <w:r>
        <w:rPr>
          <w:bCs/>
          <w:b/>
        </w:rPr>
        <w:t xml:space="preserve">giảm</w:t>
      </w:r>
      <w:r>
        <w:t xml:space="preserve"> </w:t>
      </w:r>
      <w:r>
        <w:t xml:space="preserve">đơn điệu theo chiều từ SIDS/Frontier (~55%) xuống Advanced Innovation (~28%) — thể chế càng mạnh, doanh nghiệp đạt đỉnh hiệu quả ở mức quốc tế hóa thấp hơn — xác nhận giá trị dự đoán của phân loại.</w:t>
      </w:r>
    </w:p>
    <w:p>
      <w:r>
        <w:pict>
          <v:rect style="width:0;height:1.5pt" o:hralign="center" o:hrstd="t" o:hr="t"/>
        </w:pict>
      </w:r>
    </w:p>
    <w:bookmarkEnd w:id="61"/>
    <w:bookmarkEnd w:id="62"/>
    <w:bookmarkStart w:id="66" w:name="X7f421bdff8617930b20eb51cd2d551d777f85e9"/>
    <w:p>
      <w:pPr>
        <w:pStyle w:val="Heading2"/>
      </w:pPr>
      <w:r>
        <w:t xml:space="preserve">5.4 Hàm ý chính sách và quản trị</w:t>
      </w:r>
    </w:p>
    <w:bookmarkStart w:id="63" w:name="X9a1ed066b09cdcf5fe6c1375fffc11bc87ba428"/>
    <w:p>
      <w:pPr>
        <w:pStyle w:val="Heading3"/>
      </w:pPr>
      <w:r>
        <w:t xml:space="preserve">5.4.1 Hàm ý cho nhà hoạch định chính sách —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 từ đó dịch chuyển đường I→P lên trên và có thể mở rộng turning point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 điều này có nghĩa là cải cách thể chế không chỉ có lợi về mặt kinh doanh nội địa mà còn mở rộng không gian lợi ích từ xuất khẩu.</w:t>
      </w:r>
    </w:p>
    <w:p>
      <w:pPr>
        <w:pStyle w:val="BodyText"/>
      </w:pPr>
      <w:r>
        <w:t xml:space="preserve">Đối với Việt Nam cụ thể: turning point dịch chuyển từ 46,2% (2009) xuống 39,3% (2015) là tín hiệu đáng lo ngại. Nếu turning point tiếp tục dịch trái, điều đó hàm ý rằng lợi ích từ xuất khẩu đạt đỉnh sớm hơn và suy giảm nhanh hơn —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63"/>
    <w:bookmarkStart w:id="64" w:name="X3f8d9a323ba27def2403a7e7f4c133f4419909e"/>
    <w:p>
      <w:pPr>
        <w:pStyle w:val="Heading3"/>
      </w:pPr>
      <w:r>
        <w:t xml:space="preserve">5.4.2 Hàm ý cho nhà quản trị doanh nghiệp — Turning Point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05"/>
        </w:numPr>
      </w:pPr>
      <w:r>
        <w:rPr>
          <w:bCs/>
          <w:b/>
        </w:rPr>
        <w:t xml:space="preserve">Doanh nghiệp Singapore (Nhóm I)</w:t>
      </w:r>
      <w:r>
        <w:t xml:space="preserve">: turning point TP ≈ 82% cho thấy không gian quốc tế hóa rất rộng. Chiến lược mở rộng quốc tế mạnh mẽ (high-commitment internationalization) phù hợp với bối cảnh này, đặc biệt khi kết hợp với DAI cao.</w:t>
      </w:r>
    </w:p>
    <w:p>
      <w:pPr>
        <w:numPr>
          <w:ilvl w:val="0"/>
          <w:numId w:val="1005"/>
        </w:numPr>
      </w:pPr>
      <w:r>
        <w:rPr>
          <w:bCs/>
          <w:b/>
        </w:rPr>
        <w:t xml:space="preserve">Doanh nghiệp Trung Quốc (Nhóm III)</w:t>
      </w:r>
      <w:r>
        <w:t xml:space="preserve">: turning point TP ≈ 48,78% ổn định qua thập kỷ 2012–2024, gợi ý rằng chiến lược xuất khẩu tối ưu là duy trì tỷ lệ FSTS trong khoảng 40–50% — kết hợp giữa thị trường nội địa khổng lồ và hoạt động xuất khẩu có chọn lọc.</w:t>
      </w:r>
    </w:p>
    <w:p>
      <w:pPr>
        <w:numPr>
          <w:ilvl w:val="0"/>
          <w:numId w:val="1005"/>
        </w:numPr>
      </w:pPr>
      <w:r>
        <w:rPr>
          <w:bCs/>
          <w:b/>
        </w:rPr>
        <w:t xml:space="preserve">Doanh nghiệp Việt Nam (Nhóm IV)</w:t>
      </w:r>
      <w:r>
        <w:t xml:space="preserve">: turning point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05"/>
        </w:numPr>
      </w:pPr>
      <w:r>
        <w:rPr>
          <w:bCs/>
          <w:b/>
        </w:rPr>
        <w:t xml:space="preserve">Doanh nghiệp SIDS (Nhóm VI)</w:t>
      </w:r>
      <w:r>
        <w:t xml:space="preserve">: kết quả FIP là cảnh báo nghiêm túc —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64"/>
    <w:bookmarkStart w:id="65" w:name="X61b8a223e6da69b21ec881e9692972717b30064"/>
    <w:p>
      <w:pPr>
        <w:pStyle w:val="Heading3"/>
      </w:pPr>
      <w:r>
        <w:t xml:space="preserve">5.4.3 Hàm ý đặc biệt cho SIDS — Tránh Bẫy Quốc Tế Hóa Bắt Buộc</w:t>
      </w:r>
    </w:p>
    <w:p>
      <w:pPr>
        <w:pStyle w:val="FirstParagraph"/>
      </w:pPr>
      <w:r>
        <w:t xml:space="preserve">Phát hiện FIP tại chín quốc gia SIDS Thái Bình Dương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 "bẫy quốc tế hóa bắt buộc" bằng cách đảm bảo rằng các can thiệp chính sách xây dựng năng lực trước khi thúc đẩy mở rộng thị trường.</w:t>
      </w:r>
    </w:p>
    <w:p>
      <w:r>
        <w:pict>
          <v:rect style="width:0;height:1.5pt" o:hralign="center" o:hrstd="t" o:hr="t"/>
        </w:pict>
      </w:r>
    </w:p>
    <w:bookmarkEnd w:id="65"/>
    <w:bookmarkEnd w:id="66"/>
    <w:bookmarkStart w:id="71" w:name="Xf80a1234b44a7d4089382a2631c25010c604edb"/>
    <w:p>
      <w:pPr>
        <w:pStyle w:val="Heading2"/>
      </w:pPr>
      <w:r>
        <w:t xml:space="preserve">5.5 Hạn chế và hướng nghiên cứu tương lai</w:t>
      </w:r>
    </w:p>
    <w:bookmarkStart w:id="67" w:name="Xfc21172891b143a859fa6a4cd4308b059abf57d"/>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 và các item này thay đổi qua các thế hệ schema WBES (PICS3, Standardized, BREADY/BEE). Tại Việt Nam (P3), chỉ Tier-1 DAI (website, email, online sales) được sử dụng do hạn chế của các làn sóng 2009 và 2015, trong khi Tier-2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static</w:t>
      </w:r>
      <w:r>
        <w:t xml:space="preserve"> </w:t>
      </w:r>
      <w:r>
        <w:t xml:space="preserve">(tại một thời điểm khảo sát), không thể nắm bắt tính "dynamic"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dynamic capabilities theory (Teece et al., 1997).</w:t>
      </w:r>
    </w:p>
    <w:bookmarkEnd w:id="67"/>
    <w:bookmarkStart w:id="68" w:name="X87e10c044c34a8346bd2a0229fbb014435526bd"/>
    <w:p>
      <w:pPr>
        <w:pStyle w:val="Heading3"/>
      </w:pPr>
      <w:r>
        <w:t xml:space="preserve">5.5.2 Hạn chế về selection bias trong exporters subsamples</w:t>
      </w:r>
    </w:p>
    <w:p>
      <w:pPr>
        <w:pStyle w:val="FirstParagraph"/>
      </w:pPr>
      <w:r>
        <w:t xml:space="preserve">Các phân tích sử dụng mẫu chỉ gồm doanh nghiệp xuất khẩu (ví dụ: Singapore N = 237, SIDS exporters-only N = 187) đối mặt với rủi ro selection bias nghiêm trọng: doanh nghiệp xuất khẩu không phải là mẫu ngẫu nhiên từ tổng thể doanh nghiệp mà có khả năng là các doanh nghiệp đã có một số lợi thế ban đầu (productivity, resources, connections). Kết quả từ exporters-only không thể tổng quát hóa trực tiếp cho toàn bộ doanh nghiệp, và có thể understate hoặc overstate các hiệu ứng tùy thuộc vào phương hướng của selection.</w:t>
      </w:r>
    </w:p>
    <w:p>
      <w:pPr>
        <w:pStyle w:val="BodyText"/>
      </w:pPr>
      <w:r>
        <w:t xml:space="preserve">Phân tích Heckman two-step (hoặc treatment effects models)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68"/>
    <w:bookmarkStart w:id="69" w:name="X959560e89fb19d54629474460c75a36ce5e6d02"/>
    <w:p>
      <w:pPr>
        <w:pStyle w:val="Heading3"/>
      </w:pPr>
      <w:r>
        <w:t xml:space="preserve">5.5.3 Hạn chế về nhân quả</w:t>
      </w:r>
    </w:p>
    <w:p>
      <w:pPr>
        <w:pStyle w:val="FirstParagraph"/>
      </w:pPr>
      <w:r>
        <w:t xml:space="preserve">Thiết kế cross-sectional (hoặc pooled panel nhưng với WBES không phải là panel thực sự cho cùng doanh nghiệp qua thời gian) giới hạn khả năng suy luận nhân quả. Quan hệ I→P có thể bị ảnh hưởng bởi reverse causality: doanh nghiệp hiệu quả hơn có thể có nhiều nguồn lực để quốc tế hóa hơn, tạo ra chiều nhân quả ngược lại. Country fixed effects và year fixed effects giúp kiểm soát một phần, nhưng không giải quyết hoàn toàn vấn đề endogeneity.</w:t>
      </w:r>
    </w:p>
    <w:bookmarkEnd w:id="69"/>
    <w:bookmarkStart w:id="70" w:name="Xbd928791aa65151cf467be0328d1674d176e909"/>
    <w:p>
      <w:pPr>
        <w:pStyle w:val="Heading3"/>
      </w:pPr>
      <w:r>
        <w:t xml:space="preserve">5.5.4 Hướng nghiên cứu tương lai</w:t>
      </w:r>
    </w:p>
    <w:p>
      <w:pPr>
        <w:pStyle w:val="FirstParagraph"/>
      </w:pPr>
      <w:r>
        <w:t xml:space="preserve">Dựa trên các hạn chế trên, luận án đề xuất bốn hướng nghiên cứu ưu tiên:</w:t>
      </w:r>
    </w:p>
    <w:p>
      <w:pPr>
        <w:pStyle w:val="BodyText"/>
      </w:pPr>
      <w:r>
        <w:rPr>
          <w:bCs/>
          <w:b/>
        </w:rPr>
        <w:t xml:space="preserve">Thứ nhất</w:t>
      </w:r>
      <w:r>
        <w:t xml:space="preserve">, xây dựng đo lường DAI phong phú hơn (Tier-2 và Tier-3)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 kinh nghiệm, giới tính) trong từng bối cảnh ICRV riêng biệt, đặc biệt trong bối cảnh Frontier và SIDS nơi tầng năng lực và thể chế yếu hơn — liệu đặc điểm nhà quản trị có thể bù đắp một phần cho những thiếu hụt đó không?</w:t>
      </w:r>
    </w:p>
    <w:p>
      <w:r>
        <w:pict>
          <v:rect style="width:0;height:1.5pt" o:hralign="center" o:hrstd="t" o:hr="t"/>
        </w:pict>
      </w:r>
    </w:p>
    <w:bookmarkEnd w:id="70"/>
    <w:bookmarkEnd w:id="71"/>
    <w:bookmarkStart w:id="76" w:name="X4996a41f63b55247ad67839d7d35b5e27cb34b2"/>
    <w:p>
      <w:pPr>
        <w:pStyle w:val="Heading2"/>
      </w:pPr>
      <w:r>
        <w:t xml:space="preserve">5.6 Kết luận chương và luận án</w:t>
      </w:r>
    </w:p>
    <w:bookmarkStart w:id="72" w:name="X908ec0d26c8b6e22d0478e29897c5c86bef9e95"/>
    <w:p>
      <w:pPr>
        <w:pStyle w:val="Heading3"/>
      </w:pPr>
      <w:r>
        <w:t xml:space="preserve">5.6.1 Tổng kết tám nghiên cứu</w:t>
      </w:r>
    </w:p>
    <w:p>
      <w:pPr>
        <w:pStyle w:val="FirstParagraph"/>
      </w:pPr>
      <w:r>
        <w:t xml:space="preserve">Luận án này được xây dựng trên tám nghiên cứu bổ sung cho nhau, kết hợp bằng chứng từ meta-analysis và phân tích thực nghiệm sơ cấp:</w:t>
      </w:r>
    </w:p>
    <w:p>
      <w:pPr>
        <w:numPr>
          <w:ilvl w:val="0"/>
          <w:numId w:val="1006"/>
        </w:numPr>
      </w:pPr>
      <w:r>
        <w:rPr>
          <w:bCs/>
          <w:b/>
        </w:rPr>
        <w:t xml:space="preserve">P1 và P2</w:t>
      </w:r>
      <w:r>
        <w:t xml:space="preserve"> </w:t>
      </w:r>
      <w:r>
        <w:t xml:space="preserve">(đã công bố — ICBEF 2024, Đỗ &amp; Phan, 2024): thiết lập baseline meta-analytic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06"/>
        </w:numPr>
      </w:pPr>
      <w:r>
        <w:rPr>
          <w:bCs/>
          <w:b/>
        </w:rPr>
        <w:t xml:space="preserve">P3</w:t>
      </w:r>
      <w:r>
        <w:t xml:space="preserve"> </w:t>
      </w:r>
      <w:r>
        <w:t xml:space="preserve">(JABS under review, Đỗ &amp; Phan, 2026): phân tích Việt Nam (Lower-mid Transition), xác nhận inverted-U với TP = 39,3–46,2%, TCI là moderator dương có ý nghĩa.</w:t>
      </w:r>
    </w:p>
    <w:p>
      <w:pPr>
        <w:numPr>
          <w:ilvl w:val="0"/>
          <w:numId w:val="1006"/>
        </w:numPr>
      </w:pPr>
      <w:r>
        <w:rPr>
          <w:bCs/>
          <w:b/>
        </w:rPr>
        <w:t xml:space="preserve">P4</w:t>
      </w:r>
      <w:r>
        <w:t xml:space="preserve"> </w:t>
      </w:r>
      <w:r>
        <w:t xml:space="preserve">(MIR under review, Đỗ &amp; Phan, 2026): phân tích Singapore (Advanced Innovation), xác nhận inverted-U với TP ≈ 82% (rộng CI), DAI khuếch đại tại mức FSTS cao.</w:t>
      </w:r>
    </w:p>
    <w:p>
      <w:pPr>
        <w:numPr>
          <w:ilvl w:val="0"/>
          <w:numId w:val="1006"/>
        </w:numPr>
      </w:pPr>
      <w:r>
        <w:rPr>
          <w:bCs/>
          <w:b/>
        </w:rPr>
        <w:t xml:space="preserve">P5</w:t>
      </w:r>
      <w:r>
        <w:t xml:space="preserve"> </w:t>
      </w:r>
      <w:r>
        <w:t xml:space="preserve">(IJOEM under review, Đỗ &amp; Phan, 2026): phân tích Trung Quốc 2012–2024 (Upper-middle), xác nhận inverted-U ổn định theo thời gian (TP ≈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6"/>
        </w:numPr>
      </w:pPr>
      <w:r>
        <w:rPr>
          <w:bCs/>
          <w:b/>
        </w:rPr>
        <w:t xml:space="preserve">P6</w:t>
      </w:r>
      <w:r>
        <w:t xml:space="preserve"> </w:t>
      </w:r>
      <w:r>
        <w:t xml:space="preserve">(IBR under review, Đỗ &amp; Phan, 2026): meta-analysis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2 + 8,4% tầng 3), ICRV moderation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6"/>
        </w:numPr>
      </w:pPr>
      <w:r>
        <w:rPr>
          <w:bCs/>
          <w:b/>
        </w:rPr>
        <w:t xml:space="preserve">P7</w:t>
      </w:r>
      <w:r>
        <w:t xml:space="preserve"> </w:t>
      </w:r>
      <w:r>
        <w:t xml:space="preserve">(JIBS under revision, Đỗ &amp; Phan, 2026): kiểm định toàn mẫu châu Á và Thái Bình Dương</w:t>
      </w:r>
      <w:r>
        <w:t xml:space="preserve"> </w:t>
      </w:r>
      <m:oMath>
        <m:r>
          <m:t>N</m:t>
        </m:r>
        <m:r>
          <m:rPr>
            <m:sty m:val="p"/>
          </m:rPr>
          <m:t>=</m:t>
        </m:r>
        <m:r>
          <m:t>84.910</m:t>
        </m:r>
      </m:oMath>
      <w:r>
        <w:t xml:space="preserve"> </w:t>
      </w:r>
      <w:r>
        <w:t xml:space="preserve">(M2) /</w:t>
      </w:r>
      <w:r>
        <w:t xml:space="preserve"> </w:t>
      </w:r>
      <m:oMath>
        <m:r>
          <m:t>38.342</m:t>
        </m:r>
      </m:oMath>
      <w:r>
        <w:t xml:space="preserve"> </w:t>
      </w:r>
      <w:r>
        <w:t xml:space="preserve">(M3–M5 với controls), TP = 36,4–40,0% (M11 đầy đủ: TP = 34,6%,</w:t>
      </w:r>
      <w:r>
        <w:t xml:space="preserve"> </w:t>
      </w:r>
      <m:oMath>
        <m:sSub>
          <m:e>
            <m:r>
              <m:t>p</m:t>
            </m:r>
          </m:e>
          <m:sub>
            <m:r>
              <m:rPr>
                <m:nor/>
                <m:sty m:val="p"/>
              </m:rPr>
              <m:t>LM</m:t>
            </m:r>
          </m:sub>
        </m:sSub>
        <m:r>
          <m:rPr>
            <m:sty m:val="p"/>
          </m:rPr>
          <m:t>=</m:t>
        </m:r>
        <m:r>
          <m:rPr>
            <m:sty m:val="p"/>
          </m:rPr>
          <m:t>,</m:t>
        </m:r>
        <m:r>
          <m:t>002</m:t>
        </m:r>
      </m:oMath>
      <w:r>
        <w:t xml:space="preserve">), gradient ICRV xác nhận (Advanced ~28% &lt; Frontier/SIDS ~55%), TCI nâng mặt bằng phổ quát (+41%/SD), DAI điều tiết đường cong có ý nghĩa toàn mẫu và mạnh hơn tại thể chế yếu (DAI×ICRV</w:t>
      </w:r>
      <w:r>
        <w:t xml:space="preserve"> </w:t>
      </w:r>
      <m:oMath>
        <m:r>
          <m:t>p</m:t>
        </m:r>
        <m:r>
          <m:rPr>
            <m:sty m:val="p"/>
          </m:rPr>
          <m:t>=</m:t>
        </m:r>
        <m:r>
          <m:rPr>
            <m:sty m:val="p"/>
          </m:rPr>
          <m:t>,</m:t>
        </m:r>
        <m:r>
          <m:t>012</m:t>
        </m:r>
      </m:oMath>
      <w:r>
        <w:t xml:space="preserve">).</w:t>
      </w:r>
    </w:p>
    <w:p>
      <w:pPr>
        <w:numPr>
          <w:ilvl w:val="0"/>
          <w:numId w:val="1006"/>
        </w:numPr>
      </w:pPr>
      <w:r>
        <w:rPr>
          <w:bCs/>
          <w:b/>
        </w:rPr>
        <w:t xml:space="preserve">P8</w:t>
      </w:r>
      <w:r>
        <w:t xml:space="preserve"> </w:t>
      </w:r>
      <w:r>
        <w:t xml:space="preserve">(World Development under revision, Đỗ &amp; Phan, 2026): phân tích SIDS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FIP xác nhận — quan hệ âm đơn điệu không có turning point.</w:t>
      </w:r>
    </w:p>
    <w:bookmarkEnd w:id="72"/>
    <w:bookmarkStart w:id="73" w:name="X9556672229511acc75e7a88561876b51568dedf"/>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"Không có một mức độ quốc tế hóa tối ưu duy nhất — điểm ngưỡng phụ thuộc vào thể chế, và trong điều kiện thể chế cực yếu, quốc tế hóa có thể gây ra bất lợi hiệu quả thay vì lợi ích."</w:t>
      </w:r>
    </w:p>
    <w:p>
      <w:pPr>
        <w:pStyle w:val="FirstParagraph"/>
      </w:pPr>
      <w:r>
        <w:t xml:space="preserve">Bằng chứng từ 238 nghiên cứu (P6) và 84.910 doanh nghiệp tại 49 nền kinh tế châu Á và Thái Bình Dương (P7) đều chỉ đến kết luận này. Quan hệ I→P không phải là một đường cong phổ quát mà là một</w:t>
      </w:r>
      <w:r>
        <w:t xml:space="preserve"> </w:t>
      </w:r>
      <w:r>
        <w:rPr>
          <w:bCs/>
          <w:b/>
        </w:rPr>
        <w:t xml:space="preserve">họ đường cong phụ thuộc bối cảnh</w:t>
      </w:r>
      <w:r>
        <w:t xml:space="preserve"> </w:t>
      </w:r>
      <w:r>
        <w:t xml:space="preserve">(family of context-dependent curves), với turning point là hàm số</w:t>
      </w:r>
      <w:r>
        <w:t xml:space="preserve"> </w:t>
      </w:r>
      <w:r>
        <w:rPr>
          <w:bCs/>
          <w:b/>
        </w:rPr>
        <w:t xml:space="preserve">giảm dần</w:t>
      </w:r>
      <w:r>
        <w:t xml:space="preserve"> </w:t>
      </w:r>
      <w:r>
        <w:t xml:space="preserve">của chất lượng thể chế theo ICRV — thể chế mạnh hơn → turning point thấp hơn (FSTS thấp hơn để đạt đỉnh hiệu quả).</w:t>
      </w:r>
    </w:p>
    <w:bookmarkEnd w:id="73"/>
    <w:bookmarkStart w:id="74" w:name="X0e99b1254b4b67b0d58ad32605b3382cafdc23f"/>
    <w:p>
      <w:pPr>
        <w:pStyle w:val="Heading3"/>
      </w:pPr>
      <w:r>
        <w:t xml:space="preserve">5.6.3 Ý nghĩa đối với lý thuyết và thực tiễn</w:t>
      </w:r>
    </w:p>
    <w:p>
      <w:pPr>
        <w:pStyle w:val="FirstParagraph"/>
      </w:pPr>
      <w:r>
        <w:t xml:space="preserve">Về lý thuyết, luận án đóng góp vào ba dòng nghiên cứu: (i) meta-analytic literature về I→P bằng cách phân tách cấu trúc dị biệt và xác định ICRV như moderator có ý nghĩa; (ii) literature về digital capability bằng cách làm rõ DAI là situational resource chứ không phải foundational capability; và (iii) literature về internationalization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 không áp dụng máy móc bài học từ Singapore hay Nhật Bản vào bối cảnh Việt Nam hay SIDS, mà nhận ra sự phụ thuộc bối cảnh như là nguyên lý căn bản trong hoạch định chiến lược quốc tế hóa.</w:t>
      </w:r>
    </w:p>
    <w:bookmarkEnd w:id="74"/>
    <w:bookmarkStart w:id="75" w:name="X419817a82cb35cfdb5a0df5261d5a194f2fd9ca"/>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tám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 rằng quan hệ I→P là quan hệ có điều kiện theo thể chế, không phải quan hệ phổ quát — là đóng góp cốt lõi mà luận án mang lại cho khoa học quản trị kinh doanh quốc tế.</w:t>
      </w:r>
    </w:p>
    <w:p>
      <w:r>
        <w:pict>
          <v:rect style="width:0;height:1.5pt" o:hralign="center" o:hrstd="t" o:hr="t"/>
        </w:pict>
      </w:r>
    </w:p>
    <w:bookmarkEnd w:id="75"/>
    <w:bookmarkEnd w:id="76"/>
    <w:bookmarkStart w:id="77" w:name="X9c0fa5a95aa65503927cbe8b57752b2cbfc3017"/>
    <w:p>
      <w:pPr>
        <w:pStyle w:val="Heading2"/>
      </w:pPr>
      <w:r>
        <w:t xml:space="preserve">Tài liệu tham khảo (trích dẫn trong Chương 4 và 5)</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Barney, J. (1991). Firm resources and sustained competitive advantage.</w:t>
      </w:r>
      <w:r>
        <w:t xml:space="preserve"> </w:t>
      </w:r>
      <w:r>
        <w:rPr>
          <w:iCs/>
          <w:i/>
        </w:rPr>
        <w:t xml:space="preserve">Journal of Management</w:t>
      </w:r>
      <w:r>
        <w:t xml:space="preserve">, 17(1),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w:t>
      </w:r>
      <w:r>
        <w:t xml:space="preserve">, 47(3), 319–347.</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Journal of Cleaner Production</w:t>
      </w:r>
      <w:r>
        <w:t xml:space="preserve">, 415, 137843.</w:t>
      </w:r>
    </w:p>
    <w:p>
      <w:pPr>
        <w:pStyle w:val="BodyText"/>
      </w:pPr>
      <w:r>
        <w:t xml:space="preserve">Banalieva, E. R., &amp; Dhanaraj, C. (2019). Internalization theory for the digital economy.</w:t>
      </w:r>
      <w:r>
        <w:t xml:space="preserve"> </w:t>
      </w:r>
      <w:r>
        <w:rPr>
          <w:iCs/>
          <w:i/>
        </w:rPr>
        <w:t xml:space="preserve">Journal of International Business Studies</w:t>
      </w:r>
      <w:r>
        <w:t xml:space="preserve">, 50(8), 1372–1387.</w:t>
      </w:r>
    </w:p>
    <w:p>
      <w:pPr>
        <w:pStyle w:val="BodyText"/>
      </w:pPr>
      <w:r>
        <w:t xml:space="preserve">Borenstein, M., Hedges, L. V., Higgins, J. P. T., &amp; Rothstein, H. R. (2009).</w:t>
      </w:r>
      <w:r>
        <w:t xml:space="preserve"> </w:t>
      </w:r>
      <w:r>
        <w:rPr>
          <w:iCs/>
          <w:i/>
        </w:rPr>
        <w:t xml:space="preserve">Introduction to meta-analysis</w:t>
      </w:r>
      <w:r>
        <w:t xml:space="preserve">. John Wiley &amp; Sons.</w:t>
      </w:r>
    </w:p>
    <w:p>
      <w:pPr>
        <w:pStyle w:val="BodyText"/>
      </w:pPr>
      <w:r>
        <w:t xml:space="preserve">Bustamante, C. V., Moreno-Menéndez, A. M., &amp; Eusse, M. T. (2022). Digital capabilities and international growth of family SMEs.</w:t>
      </w:r>
      <w:r>
        <w:t xml:space="preserve"> </w:t>
      </w:r>
      <w:r>
        <w:rPr>
          <w:iCs/>
          <w:i/>
        </w:rPr>
        <w:t xml:space="preserve">International Business Review</w:t>
      </w:r>
      <w:r>
        <w:t xml:space="preserve">, 31(4), 101985.</w:t>
      </w:r>
    </w:p>
    <w:p>
      <w:pPr>
        <w:pStyle w:val="BodyText"/>
      </w:pPr>
      <w:r>
        <w:t xml:space="preserve">Chen, L., &amp; Meng, B. (2022). How digital finance affects manufacturing firms' outward FDI: Evidence from China.</w:t>
      </w:r>
      <w:r>
        <w:t xml:space="preserve"> </w:t>
      </w:r>
      <w:r>
        <w:rPr>
          <w:iCs/>
          <w:i/>
        </w:rPr>
        <w:t xml:space="preserve">Journal of International Money and Finance</w:t>
      </w:r>
      <w:r>
        <w:t xml:space="preserve">, 121, 102491.</w:t>
      </w:r>
    </w:p>
    <w:p>
      <w:pPr>
        <w:pStyle w:val="BodyText"/>
      </w:pPr>
      <w:r>
        <w:t xml:space="preserve">Cohen, W. M., &amp; Levinthal, D. A. (1990). Absorptive capacity: A new perspective on learning and innovation.</w:t>
      </w:r>
      <w:r>
        <w:t xml:space="preserve"> </w:t>
      </w:r>
      <w:r>
        <w:rPr>
          <w:iCs/>
          <w:i/>
        </w:rPr>
        <w:t xml:space="preserve">Administrative Science Quarterly</w:t>
      </w:r>
      <w:r>
        <w:t xml:space="preserve">, 35(1), 128–152.</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w:t>
      </w:r>
      <w:r>
        <w:t xml:space="preserve">, 34(1), 5–18.</w:t>
      </w:r>
    </w:p>
    <w:p>
      <w:pPr>
        <w:pStyle w:val="BodyText"/>
      </w:pPr>
      <w:r>
        <w:t xml:space="preserve">Cuervo-Cazurra, A., Luo, Y., Ramamurti, R., &amp; Ang, S. H. (2018). The impact of the home country on internationalization.</w:t>
      </w:r>
      <w:r>
        <w:t xml:space="preserve"> </w:t>
      </w:r>
      <w:r>
        <w:rPr>
          <w:iCs/>
          <w:i/>
        </w:rPr>
        <w:t xml:space="preserve">Journal of World Business</w:t>
      </w:r>
      <w:r>
        <w:t xml:space="preserve">, 53(5), 593–604.</w:t>
      </w:r>
    </w:p>
    <w:p>
      <w:pPr>
        <w:pStyle w:val="BodyText"/>
      </w:pPr>
      <w:r>
        <w:t xml:space="preserve">Đỗ, H., &amp; Phan, T. (2024).</w:t>
      </w:r>
      <w:r>
        <w:t xml:space="preserve"> </w:t>
      </w:r>
      <w:r>
        <w:rPr>
          <w:iCs/>
          <w:i/>
        </w:rPr>
        <w:t xml:space="preserve">Internationalization and firm performance in Asia: A meta-analytic baseline</w:t>
      </w:r>
      <w:r>
        <w:t xml:space="preserve">. Paper presented at the International Conference on Business, Economics and Finance (ICBEF), Can Tho University.</w:t>
      </w:r>
    </w:p>
    <w:p>
      <w:pPr>
        <w:pStyle w:val="BodyText"/>
      </w:pPr>
      <w:r>
        <w:t xml:space="preserve">Egger, M., Smith, G. D., Schneider, M., &amp; Minder, C. (1997). Bias in meta-analysis detected by a simple, graphical test.</w:t>
      </w:r>
      <w:r>
        <w:t xml:space="preserve"> </w:t>
      </w:r>
      <w:r>
        <w:rPr>
          <w:iCs/>
          <w:i/>
        </w:rPr>
        <w:t xml:space="preserve">BMJ</w:t>
      </w:r>
      <w:r>
        <w:t xml:space="preserve">, 315(7109), 629–634.</w:t>
      </w:r>
    </w:p>
    <w:p>
      <w:pPr>
        <w:pStyle w:val="BodyText"/>
      </w:pPr>
      <w:r>
        <w:t xml:space="preserve">Hambrick, D. C. (2007). Upper echelons theory: An update.</w:t>
      </w:r>
      <w:r>
        <w:t xml:space="preserve"> </w:t>
      </w:r>
      <w:r>
        <w:rPr>
          <w:iCs/>
          <w:i/>
        </w:rPr>
        <w:t xml:space="preserve">Academy of Management Review</w:t>
      </w:r>
      <w:r>
        <w:t xml:space="preserve">, 32(2), 334–343.</w:t>
      </w:r>
    </w:p>
    <w:p>
      <w:pPr>
        <w:pStyle w:val="BodyText"/>
      </w:pPr>
      <w:r>
        <w:t xml:space="preserve">Hambrick, D. C., &amp; Mason, P. A. (1984). Upper echelons: The organization as a reflection of its top managers.</w:t>
      </w:r>
      <w:r>
        <w:t xml:space="preserve"> </w:t>
      </w:r>
      <w:r>
        <w:rPr>
          <w:iCs/>
          <w:i/>
        </w:rPr>
        <w:t xml:space="preserve">Academy of Management Review</w:t>
      </w:r>
      <w:r>
        <w:t xml:space="preserve">, 9(2), 193–206.</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w:t>
      </w:r>
      <w:r>
        <w:t xml:space="preserve">, 40(4), 767–798.</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w:t>
      </w:r>
      <w:r>
        <w:t xml:space="preserve">, 8(1), 23–32.</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w:t>
      </w:r>
      <w:r>
        <w:t xml:space="preserve">, 40(9), 1411–1431.</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w:t>
      </w:r>
      <w:r>
        <w:t xml:space="preserve">, 3(2),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w:t>
      </w:r>
      <w:r>
        <w:t xml:space="preserve">, 2(2), 108–121.</w:t>
      </w:r>
    </w:p>
    <w:p>
      <w:pPr>
        <w:pStyle w:val="BodyText"/>
      </w:pPr>
      <w:r>
        <w:t xml:space="preserve">Lall, S. (1992). Technological capabilities and industrialization.</w:t>
      </w:r>
      <w:r>
        <w:t xml:space="preserve"> </w:t>
      </w:r>
      <w:r>
        <w:rPr>
          <w:iCs/>
          <w:i/>
        </w:rPr>
        <w:t xml:space="preserve">World Development</w:t>
      </w:r>
      <w:r>
        <w:t xml:space="preserve">, 20(2), 165–186.</w:t>
      </w:r>
    </w:p>
    <w:p>
      <w:pPr>
        <w:pStyle w:val="BodyText"/>
      </w:pPr>
      <w:r>
        <w:t xml:space="preserve">Lu, J. W., &amp; Beamish, P. W. (2004). International diversification and firm performance: The S-curve hypothesis.</w:t>
      </w:r>
      <w:r>
        <w:t xml:space="preserve"> </w:t>
      </w:r>
      <w:r>
        <w:rPr>
          <w:iCs/>
          <w:i/>
        </w:rPr>
        <w:t xml:space="preserve">Academy of Management Journal</w:t>
      </w:r>
      <w:r>
        <w:t xml:space="preserve">, 47(4), 598–609.</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w:t>
      </w:r>
      <w:r>
        <w:t xml:space="preserve">, 42(5),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Page, M. J., McKenzie, J. E., Bossuyt, P. M., Boutron, I., Hoffmann, T. C., Mulrow, C. D., &amp; Moher, D. (2021). The PRISMA 2020 statement: An updated guideline for reporting systematic reviews.</w:t>
      </w:r>
      <w:r>
        <w:t xml:space="preserve"> </w:t>
      </w:r>
      <w:r>
        <w:rPr>
          <w:iCs/>
          <w:i/>
        </w:rPr>
        <w:t xml:space="preserve">BMJ</w:t>
      </w:r>
      <w:r>
        <w:t xml:space="preserve">, 372, n71.</w:t>
      </w:r>
    </w:p>
    <w:p>
      <w:pPr>
        <w:pStyle w:val="BodyText"/>
      </w:pPr>
      <w:r>
        <w:t xml:space="preserve">Peng, M. W. (2003). Institutional transitions and strategic choices.</w:t>
      </w:r>
      <w:r>
        <w:t xml:space="preserve"> </w:t>
      </w:r>
      <w:r>
        <w:rPr>
          <w:iCs/>
          <w:i/>
        </w:rPr>
        <w:t xml:space="preserve">Academy of Management Review</w:t>
      </w:r>
      <w:r>
        <w:t xml:space="preserve">, 28(2), 275–296.</w:t>
      </w:r>
    </w:p>
    <w:p>
      <w:pPr>
        <w:pStyle w:val="BodyText"/>
      </w:pPr>
      <w:r>
        <w:t xml:space="preserve">Post, C., &amp; Byron, K. (2015). Women on boards and firm financial performance: A meta-analysis.</w:t>
      </w:r>
      <w:r>
        <w:t xml:space="preserve"> </w:t>
      </w:r>
      <w:r>
        <w:rPr>
          <w:iCs/>
          <w:i/>
        </w:rPr>
        <w:t xml:space="preserve">Academy of Management Journal</w:t>
      </w:r>
      <w:r>
        <w:t xml:space="preserve">, 58(5), 1546–1571.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w:t>
      </w:r>
      <w:r>
        <w:t xml:space="preserve">, 11(1), 58–80.</w:t>
      </w:r>
    </w:p>
    <w:p>
      <w:pPr>
        <w:pStyle w:val="BodyText"/>
      </w:pPr>
      <w:r>
        <w:t xml:space="preserve">Sullivan, D. (1994). Measuring the degree of internationalization of a firm.</w:t>
      </w:r>
      <w:r>
        <w:t xml:space="preserve"> </w:t>
      </w:r>
      <w:r>
        <w:rPr>
          <w:iCs/>
          <w:i/>
        </w:rPr>
        <w:t xml:space="preserve">Journal of International Business Studies</w:t>
      </w:r>
      <w:r>
        <w:t xml:space="preserve">, 25(2), 325–342.</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w:t>
      </w:r>
      <w:r>
        <w:t xml:space="preserve">, 15(6), 285–305.</w:t>
      </w:r>
    </w:p>
    <w:p>
      <w:pPr>
        <w:pStyle w:val="BodyText"/>
      </w:pPr>
      <w:r>
        <w:t xml:space="preserve">Teece, D. J., Pisano, G., &amp; Shuen, A. (1997). Dynamic capabilities and strategic management.</w:t>
      </w:r>
      <w:r>
        <w:t xml:space="preserve"> </w:t>
      </w:r>
      <w:r>
        <w:rPr>
          <w:iCs/>
          <w:i/>
        </w:rPr>
        <w:t xml:space="preserve">Strategic Management Journal</w:t>
      </w:r>
      <w:r>
        <w:t xml:space="preserve">, 18(7), 509–533.</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Wernerfelt, B. (1984). A resource-based view of the firm.</w:t>
      </w:r>
      <w:r>
        <w:t xml:space="preserve"> </w:t>
      </w:r>
      <w:r>
        <w:rPr>
          <w:iCs/>
          <w:i/>
        </w:rPr>
        <w:t xml:space="preserve">Strategic Management Journal</w:t>
      </w:r>
      <w:r>
        <w:t xml:space="preserve">, 5(2), 171–180.</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w:t>
      </w:r>
      <w:r>
        <w:t xml:space="preserve">, 31(5), 102003.</w:t>
      </w:r>
    </w:p>
    <w:p>
      <w:pPr>
        <w:pStyle w:val="BodyText"/>
      </w:pPr>
      <w:r>
        <w:t xml:space="preserve">Yang, Y., Chen, C., &amp; Yang, H. (2025). Internationalization of digital firms: Systematic review and future research agenda.</w:t>
      </w:r>
      <w:r>
        <w:t xml:space="preserve"> </w:t>
      </w:r>
      <w:r>
        <w:rPr>
          <w:iCs/>
          <w:i/>
        </w:rPr>
        <w:t xml:space="preserve">Journal of International Business Studies</w:t>
      </w:r>
      <w:r>
        <w:t xml:space="preserve">, 56(2), 301–327.</w:t>
      </w:r>
    </w:p>
    <w:p>
      <w:pPr>
        <w:pStyle w:val="BodyText"/>
      </w:pPr>
      <w:r>
        <w:t xml:space="preserve">Zaheer, S. (1995). Overcoming the liability of foreignness.</w:t>
      </w:r>
      <w:r>
        <w:t xml:space="preserve"> </w:t>
      </w:r>
      <w:r>
        <w:rPr>
          <w:iCs/>
          <w:i/>
        </w:rPr>
        <w:t xml:space="preserve">Academy of Management Journal</w:t>
      </w:r>
      <w:r>
        <w:t xml:space="preserve">, 38(2), 341–363.</w:t>
      </w:r>
    </w:p>
    <w:p>
      <w:r>
        <w:pict>
          <v:rect style="width:0;height:1.5pt" o:hralign="center" o:hrstd="t" o:hr="t"/>
        </w:pict>
      </w:r>
    </w:p>
    <w:p>
      <w:pPr>
        <w:pStyle w:val="FirstParagraph"/>
      </w:pPr>
      <w:r>
        <w:rPr>
          <w:iCs/>
          <w:i/>
        </w:rPr>
        <w:t xml:space="preserve">Ghi chú về trích dẫn: Các nghiên cứu P3–P8 được trích dẫn trong luận án dưới dạng "Đỗ &amp; Phan, 2026, bản thảo đang chuẩn bị" theo quy định về trích dẫn tài liệu chưa công bố của Trường Kinh tế, Đại học Cần Thơ. Các nghiên cứu P1 và P2 được trích dẫn theo thông tin công bố chính thức (Đỗ &amp; Phan, 2024, ICBEF).</w:t>
      </w:r>
    </w:p>
    <w:bookmarkEnd w:id="77"/>
    <w:bookmarkEnd w:id="7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2026-05-25T01:39:54Z</dcterms:created>
  <dcterms:modified xsi:type="dcterms:W3CDTF">2026-05-25T01:39:54Z</dcterms:modified>
</cp:coreProperties>
</file>

<file path=docProps/custom.xml><?xml version="1.0" encoding="utf-8"?>
<Properties xmlns="http://schemas.openxmlformats.org/officeDocument/2006/custom-properties" xmlns:vt="http://schemas.openxmlformats.org/officeDocument/2006/docPropsVTypes"/>
</file>