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4"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4"/>
    <w:bookmarkStart w:id="25"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5"/>
    <w:bookmarkStart w:id="26" w:name="Xe3d0fc0bea9a42ce7605565d0964033d7f6ee47"/>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6"/>
    <w:bookmarkStart w:id="33" w:name="X8bf20a63f0decf7b16e99d564b9958ec4fbbb23"/>
    <w:p>
      <w:pPr>
        <w:pStyle w:val="Heading2"/>
      </w:pPr>
      <w:r>
        <w:t xml:space="preserve">2. Theory and Hypotheses</w:t>
      </w:r>
    </w:p>
    <w:bookmarkStart w:id="27" w:name="Xe089a51cf00ad631dbcdfa837bfcf2befbbb388"/>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7"/>
    <w:bookmarkStart w:id="28" w:name="Xf1c81d13fe998b882da119ca3ec3b3d40ce5a1b"/>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 “wave-specific” 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8"/>
    <w:bookmarkStart w:id="32" w:name="X505f50cd1f9abb1ab06672992aff36a1dc7f136"/>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FirstParagraph"/>
      </w:pPr>
      <w:r>
        <w:drawing>
          <wp:inline>
            <wp:extent cx="5753100" cy="3764110"/>
            <wp:effectExtent b="0" l="0" r="0" t="0"/>
            <wp:docPr descr="Figure 1: Conceptual model" title="" id="30" name="Picture"/>
            <a:graphic>
              <a:graphicData uri="http://schemas.openxmlformats.org/drawingml/2006/picture">
                <pic:pic>
                  <pic:nvPicPr>
                    <pic:cNvPr descr="figures/p5_china/figure_1_conceptual_model.png" id="31" name="Picture"/>
                    <pic:cNvPicPr>
                      <a:picLocks noChangeArrowheads="1" noChangeAspect="1"/>
                    </pic:cNvPicPr>
                  </pic:nvPicPr>
                  <pic:blipFill>
                    <a:blip r:embed="rId29"/>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2"/>
    <w:bookmarkEnd w:id="33"/>
    <w:bookmarkStart w:id="37"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4"/>
    <w:bookmarkStart w:id="35" w:name="X431a8b355211b47c6e494a5f659051454df4ed1"/>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5"/>
    <w:bookmarkStart w:id="36" w:name="X88d3b635b18ee197bee6ec760e4576787847be1"/>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 'panel core'),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sSub>
            <m:e>
              <m:r>
                <m:t>I</m:t>
              </m:r>
            </m:e>
            <m:sub>
              <m:r>
                <m:t>i</m:t>
              </m:r>
              <m:r>
                <m:t>t</m:t>
              </m:r>
            </m:sub>
          </m:sSub>
          <m:r>
            <m:rPr>
              <m:sty m:val="p"/>
            </m:rPr>
            <m:t>+</m:t>
          </m:r>
          <m:sSub>
            <m:e>
              <m:r>
                <m:t>β</m:t>
              </m:r>
            </m:e>
            <m:sub>
              <m:r>
                <m:t>4</m:t>
              </m:r>
            </m:sub>
          </m:sSub>
          <m:sSub>
            <m:e>
              <m:r>
                <m:rPr>
                  <m:nor/>
                  <m:sty m:val="p"/>
                </m:rPr>
                <m:t>wave</m:t>
              </m:r>
            </m:e>
            <m:sub>
              <m:r>
                <m:t>t</m:t>
              </m:r>
            </m:sub>
          </m:sSub>
        </m:oMath>
      </m:oMathPara>
    </w:p>
    <w:p>
      <w:pPr>
        <w:pStyle w:val="FirstParagraph"/>
      </w:pPr>
      <m:oMathPara>
        <m:oMathParaPr>
          <m:jc m:val="center"/>
        </m:oMathParaPr>
        <m:oMath>
          <m:r>
            <m:rPr>
              <m:sty m:val="p"/>
            </m:rPr>
            <m:t>+</m:t>
          </m:r>
          <m:sSub>
            <m:e>
              <m:r>
                <m:t>β</m:t>
              </m:r>
            </m:e>
            <m:sub>
              <m:r>
                <m:t>5</m:t>
              </m:r>
            </m:sub>
          </m:sSub>
          <m:sSub>
            <m:e>
              <m:d>
                <m:dPr>
                  <m:begChr m:val="("/>
                  <m:endChr m:val=")"/>
                  <m:sepChr m:val=""/>
                  <m:grow/>
                </m:dPr>
                <m:e>
                  <m:r>
                    <m:t>F</m:t>
                  </m:r>
                  <m:r>
                    <m:t>S</m:t>
                  </m:r>
                  <m:r>
                    <m:t>T</m:t>
                  </m:r>
                  <m:r>
                    <m:t>S</m:t>
                  </m:r>
                  <m:r>
                    <m:rPr>
                      <m:sty m:val="p"/>
                    </m:rPr>
                    <m:t>×</m:t>
                  </m:r>
                  <m:r>
                    <m:t>T</m:t>
                  </m:r>
                  <m:r>
                    <m:t>C</m:t>
                  </m:r>
                  <m:r>
                    <m:t>I</m:t>
                  </m:r>
                </m:e>
              </m:d>
            </m:e>
            <m:sub>
              <m:r>
                <m:t>i</m:t>
              </m:r>
              <m:r>
                <m:t>t</m:t>
              </m:r>
            </m:sub>
          </m:sSub>
          <m:r>
            <m:rPr>
              <m:sty m:val="p"/>
            </m:rPr>
            <m:t>+</m:t>
          </m:r>
          <m:sSub>
            <m:e>
              <m:r>
                <m:t>β</m:t>
              </m:r>
            </m:e>
            <m:sub>
              <m:r>
                <m:t>6</m:t>
              </m:r>
            </m:sub>
          </m:sSub>
          <m:sSub>
            <m:e>
              <m:d>
                <m:dPr>
                  <m:begChr m:val="("/>
                  <m:endChr m:val=")"/>
                  <m:sepChr m:val=""/>
                  <m:grow/>
                </m:dPr>
                <m:e>
                  <m:r>
                    <m:t>F</m:t>
                  </m:r>
                  <m:r>
                    <m:t>S</m:t>
                  </m:r>
                  <m:r>
                    <m:t>T</m:t>
                  </m:r>
                  <m:sSup>
                    <m:e>
                      <m:r>
                        <m:t>S</m:t>
                      </m:r>
                    </m:e>
                    <m:sup>
                      <m:r>
                        <m:t>2</m:t>
                      </m:r>
                    </m:sup>
                  </m:sSup>
                  <m:r>
                    <m:rPr>
                      <m:sty m:val="p"/>
                    </m:rPr>
                    <m:t>×</m:t>
                  </m:r>
                  <m:r>
                    <m:t>T</m:t>
                  </m:r>
                  <m:r>
                    <m:t>C</m:t>
                  </m:r>
                  <m:r>
                    <m:t>I</m:t>
                  </m:r>
                </m:e>
              </m:d>
            </m:e>
            <m:sub>
              <m:r>
                <m:t>i</m:t>
              </m:r>
              <m:r>
                <m:t>t</m:t>
              </m:r>
            </m:sub>
          </m:sSub>
        </m:oMath>
      </m:oMathPara>
    </w:p>
    <w:p>
      <w:pPr>
        <w:pStyle w:val="FirstParagraph"/>
      </w:pPr>
      <m:oMathPara>
        <m:oMathParaPr>
          <m:jc m:val="center"/>
        </m:oMathParaPr>
        <m:oMath>
          <m:r>
            <m:rPr>
              <m:sty m:val="p"/>
            </m:rPr>
            <m:t>+</m:t>
          </m:r>
          <m:sSub>
            <m:e>
              <m:r>
                <m:t>β</m:t>
              </m:r>
            </m:e>
            <m:sub>
              <m:r>
                <m:t>7</m:t>
              </m:r>
            </m:sub>
          </m:sSub>
          <m:sSub>
            <m:e>
              <m:d>
                <m:dPr>
                  <m:begChr m:val="("/>
                  <m:endChr m:val=")"/>
                  <m:sepChr m:val=""/>
                  <m:grow/>
                </m:dPr>
                <m:e>
                  <m:r>
                    <m:t>F</m:t>
                  </m:r>
                  <m:r>
                    <m:t>S</m:t>
                  </m:r>
                  <m:r>
                    <m:t>T</m:t>
                  </m:r>
                  <m:r>
                    <m:t>S</m:t>
                  </m:r>
                  <m:r>
                    <m:rPr>
                      <m:sty m:val="p"/>
                    </m:rPr>
                    <m:t>×</m:t>
                  </m:r>
                  <m:r>
                    <m:rPr>
                      <m:nor/>
                      <m:sty m:val="p"/>
                    </m:rPr>
                    <m:t>wave</m:t>
                  </m:r>
                </m:e>
              </m:d>
            </m:e>
            <m:sub>
              <m:r>
                <m:t>i</m:t>
              </m:r>
              <m:r>
                <m:t>t</m:t>
              </m:r>
            </m:sub>
          </m:sSub>
          <m:r>
            <m:rPr>
              <m:sty m:val="p"/>
            </m:rPr>
            <m:t>+</m:t>
          </m:r>
          <m:sSub>
            <m:e>
              <m:r>
                <m:t>β</m:t>
              </m:r>
            </m:e>
            <m:sub>
              <m:r>
                <m:t>8</m:t>
              </m:r>
            </m:sub>
          </m:sSub>
          <m:sSub>
            <m:e>
              <m:d>
                <m:dPr>
                  <m:begChr m:val="("/>
                  <m:endChr m:val=")"/>
                  <m:sepChr m:val=""/>
                  <m:grow/>
                </m:dPr>
                <m:e>
                  <m:r>
                    <m:t>F</m:t>
                  </m:r>
                  <m:r>
                    <m:t>S</m:t>
                  </m:r>
                  <m:r>
                    <m:t>T</m:t>
                  </m:r>
                  <m:sSup>
                    <m:e>
                      <m:r>
                        <m:t>S</m:t>
                      </m:r>
                    </m:e>
                    <m:sup>
                      <m:r>
                        <m:t>2</m:t>
                      </m:r>
                    </m:sup>
                  </m:sSup>
                  <m:r>
                    <m:rPr>
                      <m:sty m:val="p"/>
                    </m:rPr>
                    <m:t>×</m:t>
                  </m:r>
                  <m:r>
                    <m:rPr>
                      <m:nor/>
                      <m:sty m:val="p"/>
                    </m:rPr>
                    <m:t>wave</m:t>
                  </m:r>
                </m:e>
              </m:d>
            </m:e>
            <m:sub>
              <m:r>
                <m:t>i</m:t>
              </m:r>
              <m:r>
                <m:t>t</m:t>
              </m:r>
            </m:sub>
          </m:sSub>
        </m:oMath>
      </m:oMathPara>
    </w:p>
    <w:p>
      <w:pPr>
        <w:pStyle w:val="FirstParagraph"/>
      </w:pPr>
      <m:oMathPara>
        <m:oMathParaPr>
          <m:jc m:val="center"/>
        </m:oMathParaPr>
        <m:oMath>
          <m:r>
            <m:rPr>
              <m:sty m:val="p"/>
            </m:rPr>
            <m:t>+</m:t>
          </m:r>
          <m:sSub>
            <m:e>
              <m:r>
                <m:t>β</m:t>
              </m:r>
            </m:e>
            <m:sub>
              <m:r>
                <m:t>9</m:t>
              </m:r>
            </m:sub>
          </m:sSub>
          <m:sSub>
            <m:e>
              <m:d>
                <m:dPr>
                  <m:begChr m:val="("/>
                  <m:endChr m:val=")"/>
                  <m:sepChr m:val=""/>
                  <m:grow/>
                </m:dPr>
                <m:e>
                  <m:r>
                    <m:t>F</m:t>
                  </m:r>
                  <m:r>
                    <m:t>S</m:t>
                  </m:r>
                  <m:r>
                    <m:t>T</m:t>
                  </m:r>
                  <m:r>
                    <m:t>S</m:t>
                  </m:r>
                  <m:r>
                    <m:rPr>
                      <m:sty m:val="p"/>
                    </m:rPr>
                    <m:t>×</m:t>
                  </m:r>
                  <m:r>
                    <m:t>T</m:t>
                  </m:r>
                  <m:r>
                    <m:t>C</m:t>
                  </m:r>
                  <m:r>
                    <m:t>I</m:t>
                  </m:r>
                  <m:r>
                    <m:rPr>
                      <m:sty m:val="p"/>
                    </m:rPr>
                    <m:t>×</m:t>
                  </m:r>
                  <m:r>
                    <m:rPr>
                      <m:nor/>
                      <m:sty m:val="p"/>
                    </m:rPr>
                    <m:t>wave</m:t>
                  </m:r>
                </m:e>
              </m:d>
            </m:e>
            <m:sub>
              <m:r>
                <m:t>i</m:t>
              </m:r>
              <m:r>
                <m:t>t</m:t>
              </m:r>
            </m:sub>
          </m:sSub>
          <m:r>
            <m:rPr>
              <m:sty m:val="p"/>
            </m:rPr>
            <m:t>+</m:t>
          </m:r>
          <m:sSub>
            <m:e>
              <m:r>
                <m:t>β</m:t>
              </m:r>
            </m:e>
            <m:sub>
              <m:r>
                <m:t>10</m:t>
              </m:r>
            </m:sub>
          </m:sSub>
          <m:sSub>
            <m:e>
              <m:d>
                <m:dPr>
                  <m:begChr m:val="("/>
                  <m:endChr m:val=")"/>
                  <m:sepChr m:val=""/>
                  <m:grow/>
                </m:dPr>
                <m:e>
                  <m:r>
                    <m:t>F</m:t>
                  </m:r>
                  <m:r>
                    <m:t>S</m:t>
                  </m:r>
                  <m:r>
                    <m:t>T</m:t>
                  </m:r>
                  <m:sSup>
                    <m:e>
                      <m:r>
                        <m:t>S</m:t>
                      </m:r>
                    </m:e>
                    <m:sup>
                      <m:r>
                        <m:t>2</m:t>
                      </m:r>
                    </m:sup>
                  </m:sSup>
                  <m:r>
                    <m:rPr>
                      <m:sty m:val="p"/>
                    </m:rPr>
                    <m:t>×</m:t>
                  </m:r>
                  <m:r>
                    <m:t>T</m:t>
                  </m:r>
                  <m:r>
                    <m:t>C</m:t>
                  </m:r>
                  <m:r>
                    <m:t>I</m:t>
                  </m:r>
                  <m:r>
                    <m:rPr>
                      <m:sty m:val="p"/>
                    </m:rPr>
                    <m:t>×</m:t>
                  </m:r>
                  <m:r>
                    <m:rPr>
                      <m:nor/>
                      <m:sty m:val="p"/>
                    </m:rPr>
                    <m:t>wave</m:t>
                  </m:r>
                </m:e>
              </m:d>
            </m:e>
            <m:sub>
              <m:r>
                <m:t>i</m:t>
              </m:r>
              <m:r>
                <m:t>t</m:t>
              </m:r>
            </m:sub>
          </m:sSub>
        </m:oMath>
      </m:oMathPara>
    </w:p>
    <w:p>
      <w:pPr>
        <w:pStyle w:val="FirstParagraph"/>
      </w:pPr>
      <m:oMathPara>
        <m:oMathParaPr>
          <m:jc m:val="center"/>
        </m:oMathParaPr>
        <m:oMath>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p>
    <w:p>
      <w:pPr>
        <w:numPr>
          <w:ilvl w:val="0"/>
          <w:numId w:val="1002"/>
        </w:numPr>
        <w:pStyle w:val="Compact"/>
      </w:pPr>
      <w:r>
        <w:rPr>
          <w:bCs/>
          <w:b/>
        </w:rPr>
        <w:t xml:space="preserve">F1</w:t>
      </w:r>
      <w:r>
        <w:t xml:space="preserve"> </w:t>
      </w:r>
      <w:r>
        <w:t xml:space="preserve">(cross-wave curvature shift): H₀: β₇ = β₈ = 0 [H2b null — turning point stable across waves]</w:t>
      </w:r>
    </w:p>
    <w:p>
      <w:pPr>
        <w:numPr>
          <w:ilvl w:val="0"/>
          <w:numId w:val="1002"/>
        </w:numPr>
        <w:pStyle w:val="Compact"/>
      </w:pPr>
      <w:r>
        <w:rPr>
          <w:bCs/>
          <w:b/>
        </w:rPr>
        <w:t xml:space="preserve">F2</w:t>
      </w:r>
      <w:r>
        <w:t xml:space="preserve"> </w:t>
      </w:r>
      <w:r>
        <w:t xml:space="preserve">(within-wave capability moderation): H₀: β₅ = β₆ = 0 [H3 null — TCI does not moderate I–P curve shape]</w:t>
      </w:r>
    </w:p>
    <w:p>
      <w:pPr>
        <w:numPr>
          <w:ilvl w:val="0"/>
          <w:numId w:val="1002"/>
        </w:numPr>
        <w:pStyle w:val="Compact"/>
      </w:pPr>
      <w:r>
        <w:rPr>
          <w:bCs/>
          <w:b/>
        </w:rPr>
        <w:t xml:space="preserve">F3</w:t>
      </w:r>
      <w:r>
        <w:t xml:space="preserve"> </w:t>
      </w:r>
      <w:r>
        <w:t xml:space="preserve">(capability-conditioned cross-wave shift): H₀: β₉ = β₁₀ = 0 [H4b null — TCI × wave shift is zero]</w:t>
      </w:r>
    </w:p>
    <w:p>
      <w:pPr>
        <w:pStyle w:val="FirstParagraph"/>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6"/>
    <w:bookmarkEnd w:id="37"/>
    <w:bookmarkStart w:id="53" w:name="X121719332867ee227f0a04b486098cee978c6e6"/>
    <w:p>
      <w:pPr>
        <w:pStyle w:val="Heading2"/>
      </w:pPr>
      <w:r>
        <w:t xml:space="preserve">4. Results</w:t>
      </w:r>
    </w:p>
    <w:bookmarkStart w:id="38" w:name="Xcfcbc1028680fbd618b9b585dd17cf608861803"/>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8"/>
    <w:bookmarkStart w:id="42" w:name="X34b83cd764295e21fd4e71e3151b388b8f2159e"/>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BodyText"/>
      </w:pPr>
      <w:r>
        <w:drawing>
          <wp:inline>
            <wp:extent cx="5753100" cy="3010157"/>
            <wp:effectExtent b="0" l="0" r="0" t="0"/>
            <wp:docPr descr="Figure 2: Turning-point estimates with 95% CIs by wave (China)" title="" id="40" name="Picture"/>
            <a:graphic>
              <a:graphicData uri="http://schemas.openxmlformats.org/drawingml/2006/picture">
                <pic:pic>
                  <pic:nvPicPr>
                    <pic:cNvPr descr="figures/p5_china/figure_2_turning_points.png" id="41" name="Picture"/>
                    <pic:cNvPicPr>
                      <a:picLocks noChangeArrowheads="1" noChangeAspect="1"/>
                    </pic:cNvPicPr>
                  </pic:nvPicPr>
                  <pic:blipFill>
                    <a:blip r:embed="rId39"/>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2"/>
    <w:bookmarkStart w:id="46" w:name="Xfe3c331420c241aa73c6296372277a6d3f913cb"/>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BodyText"/>
      </w:pPr>
      <w:r>
        <w:drawing>
          <wp:inline>
            <wp:extent cx="5753100" cy="3330862"/>
            <wp:effectExtent b="0" l="0" r="0" t="0"/>
            <wp:docPr descr="Figure 3: Predicted I–P curves by wave (China)" title="" id="44" name="Picture"/>
            <a:graphic>
              <a:graphicData uri="http://schemas.openxmlformats.org/drawingml/2006/picture">
                <pic:pic>
                  <pic:nvPicPr>
                    <pic:cNvPr descr="figures/p5_china/figure_3_predicted_curves.png" id="45" name="Picture"/>
                    <pic:cNvPicPr>
                      <a:picLocks noChangeArrowheads="1" noChangeAspect="1"/>
                    </pic:cNvPicPr>
                  </pic:nvPicPr>
                  <pic:blipFill>
                    <a:blip r:embed="rId43"/>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6"/>
    <w:bookmarkStart w:id="50" w:name="X86f6006676d1e9a822b51b562b1655386d9e86b"/>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48" name="Picture"/>
            <a:graphic>
              <a:graphicData uri="http://schemas.openxmlformats.org/drawingml/2006/picture">
                <pic:pic>
                  <pic:nvPicPr>
                    <pic:cNvPr descr="figures/p5_china/figure_4_level_shifts.png" id="49" name="Picture"/>
                    <pic:cNvPicPr>
                      <a:picLocks noChangeArrowheads="1" noChangeAspect="1"/>
                    </pic:cNvPicPr>
                  </pic:nvPicPr>
                  <pic:blipFill>
                    <a:blip r:embed="rId47"/>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50"/>
    <w:bookmarkStart w:id="51" w:name="Xdf31b4a83ae47f030a08265332b3138989411fc"/>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 “descriptive mechanism sketch” rather than a causal identification claim (Antonakis et al., 2010; Shaver, 2020).</w:t>
      </w:r>
    </w:p>
    <w:bookmarkEnd w:id="51"/>
    <w:bookmarkStart w:id="52" w:name="X7b68f907ed55e65a2ee44288bf21fafeaedb955"/>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2"/>
    <w:bookmarkEnd w:id="53"/>
    <w:bookmarkStart w:id="59" w:name="X735612638e4e736e4693e459c258977262c0dfc"/>
    <w:p>
      <w:pPr>
        <w:pStyle w:val="Heading2"/>
      </w:pPr>
      <w:r>
        <w:t xml:space="preserve">5. Discussion</w:t>
      </w:r>
    </w:p>
    <w:bookmarkStart w:id="54" w:name="Xa0c03496b4c04a1649263a3e01d0b00bd039955"/>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4"/>
    <w:bookmarkStart w:id="55" w:name="X662147d669ae611953db259d7b4d93f76a97e61"/>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 “level-shifter”: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5"/>
    <w:bookmarkStart w:id="56" w:name="Xeab358fda242154d2e818677c8845f988021d48"/>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6"/>
    <w:bookmarkStart w:id="57" w:name="X47b33dbf897054d79ce3d759da46f0a1ef21be8"/>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7"/>
    <w:bookmarkStart w:id="58" w:name="X6239b91c09f491af0efd332004cb71e9de7a16c"/>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8"/>
    <w:bookmarkEnd w:id="59"/>
    <w:bookmarkStart w:id="60" w:name="X6b297cc947e0db5526be369b1f0f4ddc67b2415"/>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60"/>
    <w:bookmarkStart w:id="62" w:name="acknowledgements"/>
    <w:p>
      <w:pPr>
        <w:pStyle w:val="Heading2"/>
      </w:pPr>
      <w:r>
        <w:t xml:space="preserve">Acknowledgements</w:t>
      </w:r>
    </w:p>
    <w:p>
      <w:pPr>
        <w:pStyle w:val="FirstParagraph"/>
      </w:pPr>
      <w:r>
        <w:t xml:space="preserve">Source: World Bank Enterprise Surveys,</w:t>
      </w:r>
      <w:r>
        <w:t xml:space="preserve"> </w:t>
      </w:r>
      <w:hyperlink r:id="rId61">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2"/>
    <w:bookmarkStart w:id="64"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w:t>
      </w:r>
      <w:r>
        <w:t xml:space="preserve"> </w:t>
      </w:r>
      <w:hyperlink r:id="rId63">
        <w:r>
          <w:rPr>
            <w:rStyle w:val="Hyperlink"/>
          </w:rPr>
          <w:t xml:space="preserve">https://www.enterprisesurveys.org</w:t>
        </w:r>
      </w:hyperlink>
      <w:r>
        <w:t xml:space="preserve">. Variable construction code and processed datasets are available from the corresponding author upon reasonable request.</w:t>
      </w:r>
    </w:p>
    <w:bookmarkEnd w:id="64"/>
    <w:bookmarkStart w:id="65"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p>
      <w:r>
        <w:pict>
          <v:rect style="width:0;height:1.5pt" o:hralign="center" o:hrstd="t" o:hr="t"/>
        </w:pict>
      </w:r>
    </w:p>
    <w:bookmarkEnd w:id="65"/>
    <w:bookmarkStart w:id="92"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6">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7">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w:t>
      </w:r>
      <w:r>
        <w:t xml:space="preserve"> </w:t>
      </w:r>
      <w:hyperlink r:id="rId68">
        <w:r>
          <w:rPr>
            <w:rStyle w:val="Hyperlink"/>
          </w:rPr>
          <w:t xml:space="preserve">https://doi.org/10.1007/s11575-007-0022-4</w:t>
        </w:r>
      </w:hyperlink>
    </w:p>
    <w:p>
      <w:pPr>
        <w:pStyle w:val="BodyTex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9">
        <w:r>
          <w:rPr>
            <w:rStyle w:val="Hyperlink"/>
          </w:rPr>
          <w:t xml:space="preserve">https://doi.org/10.1002/smj.2399</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0">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71">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72">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73">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74">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5">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76">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77">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78">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79">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80">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81">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82">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83">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84">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85">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86">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87">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88">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89">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90">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63">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91">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92"/>
    <w:bookmarkEnd w:id="9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1" Target="http://www.enterprisesurveys.org" TargetMode="External" /><Relationship Type="http://schemas.openxmlformats.org/officeDocument/2006/relationships/hyperlink" Id="rId69" Target="https://doi.org/10.1002/smj.2399" TargetMode="External" /><Relationship Type="http://schemas.openxmlformats.org/officeDocument/2006/relationships/hyperlink" Id="rId86" Target="https://doi.org/10.1002/smj.640" TargetMode="External" /><Relationship Type="http://schemas.openxmlformats.org/officeDocument/2006/relationships/hyperlink" Id="rId68" Target="https://doi.org/10.1007/s11575-007-0022-4" TargetMode="External" /><Relationship Type="http://schemas.openxmlformats.org/officeDocument/2006/relationships/hyperlink" Id="rId76" Target="https://doi.org/10.1016/0304-4076(85)90158-7" TargetMode="External" /><Relationship Type="http://schemas.openxmlformats.org/officeDocument/2006/relationships/hyperlink" Id="rId73" Target="https://doi.org/10.1016/0305-750X(92)90097-F" TargetMode="External" /><Relationship Type="http://schemas.openxmlformats.org/officeDocument/2006/relationships/hyperlink" Id="rId91" Target="https://doi.org/10.1016/j.intman.2012.12.003" TargetMode="External" /><Relationship Type="http://schemas.openxmlformats.org/officeDocument/2006/relationships/hyperlink" Id="rId87" Target="https://doi.org/10.1016/j.jbusres.2019.09.022" TargetMode="External" /><Relationship Type="http://schemas.openxmlformats.org/officeDocument/2006/relationships/hyperlink" Id="rId81" Target="https://doi.org/10.1016/j.jinteco.2017.03.007" TargetMode="External" /><Relationship Type="http://schemas.openxmlformats.org/officeDocument/2006/relationships/hyperlink" Id="rId88" Target="https://doi.org/10.1016/j.jsis.2019.01.003" TargetMode="External" /><Relationship Type="http://schemas.openxmlformats.org/officeDocument/2006/relationships/hyperlink" Id="rId66" Target="https://doi.org/10.1016/j.leaqua.2010.10.010" TargetMode="External" /><Relationship Type="http://schemas.openxmlformats.org/officeDocument/2006/relationships/hyperlink" Id="rId89" Target="https://doi.org/10.1016/j.lrp.2021.102110" TargetMode="External" /><Relationship Type="http://schemas.openxmlformats.org/officeDocument/2006/relationships/hyperlink" Id="rId80" Target="https://doi.org/10.1016/j.respol.2019.03.018" TargetMode="External" /><Relationship Type="http://schemas.openxmlformats.org/officeDocument/2006/relationships/hyperlink" Id="rId79" Target="https://doi.org/10.1057/s41267-017-0078-8" TargetMode="External" /><Relationship Type="http://schemas.openxmlformats.org/officeDocument/2006/relationships/hyperlink" Id="rId71" Target="https://doi.org/10.1057/s41267-020-00304-2" TargetMode="External" /><Relationship Type="http://schemas.openxmlformats.org/officeDocument/2006/relationships/hyperlink" Id="rId67" Target="https://doi.org/10.1057/s41287-021-00364-6" TargetMode="External" /><Relationship Type="http://schemas.openxmlformats.org/officeDocument/2006/relationships/hyperlink" Id="rId77" Target="https://doi.org/10.1093/restud/rds036" TargetMode="External" /><Relationship Type="http://schemas.openxmlformats.org/officeDocument/2006/relationships/hyperlink" Id="rId90" Target="https://doi.org/10.1111/j.1467-9701.2007.00872.x" TargetMode="External" /><Relationship Type="http://schemas.openxmlformats.org/officeDocument/2006/relationships/hyperlink" Id="rId74" Target="https://doi.org/10.1111/j.1468-0084.2009.00569.x" TargetMode="External" /><Relationship Type="http://schemas.openxmlformats.org/officeDocument/2006/relationships/hyperlink" Id="rId82" Target="https://doi.org/10.1111/j.1745-9125.1998.tb01268.x" TargetMode="External" /><Relationship Type="http://schemas.openxmlformats.org/officeDocument/2006/relationships/hyperlink" Id="rId72" Target="https://doi.org/10.1111/j.2042-5805.2012.01028.x" TargetMode="External" /><Relationship Type="http://schemas.openxmlformats.org/officeDocument/2006/relationships/hyperlink" Id="rId83" Target="https://doi.org/10.1177/0149206311410060" TargetMode="External" /><Relationship Type="http://schemas.openxmlformats.org/officeDocument/2006/relationships/hyperlink" Id="rId78" Target="https://doi.org/10.1177/0149206315624963" TargetMode="External" /><Relationship Type="http://schemas.openxmlformats.org/officeDocument/2006/relationships/hyperlink" Id="rId85" Target="https://doi.org/10.1177/0149206319846272" TargetMode="External" /><Relationship Type="http://schemas.openxmlformats.org/officeDocument/2006/relationships/hyperlink" Id="rId84" Target="https://doi.org/10.1177/1042258718795346" TargetMode="External" /><Relationship Type="http://schemas.openxmlformats.org/officeDocument/2006/relationships/hyperlink" Id="rId75" Target="https://doi.org/10.5465/20159604" TargetMode="External" /><Relationship Type="http://schemas.openxmlformats.org/officeDocument/2006/relationships/hyperlink" Id="rId70" Target="https://doi.org/10.5465/256948"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63" Target="https://www.enterprisesurveys.org"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2026-05-25T01:39:58Z</dcterms:created>
  <dcterms:modified xsi:type="dcterms:W3CDTF">2026-05-25T01:39:58Z</dcterms:modified>
</cp:coreProperties>
</file>

<file path=docProps/custom.xml><?xml version="1.0" encoding="utf-8"?>
<Properties xmlns="http://schemas.openxmlformats.org/officeDocument/2006/custom-properties" xmlns:vt="http://schemas.openxmlformats.org/officeDocument/2006/docPropsVTypes"/>
</file>