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1.png" ContentType="image/png"/>
  <Override PartName="/word/media/rId59.png" ContentType="image/png"/>
  <Override PartName="/word/media/rId55.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71f68986ebdedfa6a7fda36701097f5cdd5e3a2"/>
    <w:p>
      <w:pPr>
        <w:pStyle w:val="Heading1"/>
      </w:pPr>
      <w:r>
        <w:t xml:space="preserve">Institutional Context, Digital Adoption, and the Internationalization–Performance Relationship: A Three-Level Meta-Analysis</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(IBR, Elsevier, IF ≈ 5.5, ABS-3)</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examining whether country-level digital adoption (cDAI), institutional context regime (ICRV), and Digital Paradox Lifecycle (DPL) phase moderate the internationalization–performance (I→P) relationship — three theoretically motivated moderators that prior meta-analyses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62.4% (within-study 54.1%; between-study 8.4%), replicating and extending the 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 moderators show limited support: ICRV regime differences are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pairwise differences reflect single-country vs. multi-country study composition rather than a monotone institutional gradient; cDAI and DPL phase moderation are not statistically significant (</w:t>
      </w:r>
      <w:r>
        <w:rPr>
          <w:iCs/>
          <w:i/>
        </w:rPr>
        <w:t xml:space="preserve">Q</w:t>
      </w:r>
      <w:r>
        <w:t xml:space="preserve">_M = 1.23,</w:t>
      </w:r>
      <w:r>
        <w:t xml:space="preserve"> </w:t>
      </w:r>
      <w:r>
        <w:rPr>
          <w:iCs/>
          <w:i/>
        </w:rPr>
        <w:t xml:space="preserve">p</w:t>
      </w:r>
      <w:r>
        <w:t xml:space="preserve"> </w:t>
      </w:r>
      <w:r>
        <w:t xml:space="preserve">= .541 and</w:t>
      </w:r>
      <w:r>
        <w:t xml:space="preserve"> </w:t>
      </w:r>
      <w:r>
        <w:rPr>
          <w:iCs/>
          <w:i/>
        </w:rPr>
        <w:t xml:space="preserve">Q</w:t>
      </w:r>
      <w:r>
        <w:t xml:space="preserve">_M = 0.56,</w:t>
      </w:r>
      <w:r>
        <w:t xml:space="preserve"> </w:t>
      </w:r>
      <w:r>
        <w:rPr>
          <w:iCs/>
          <w:i/>
        </w:rPr>
        <w:t xml:space="preserve">p</w:t>
      </w:r>
      <w:r>
        <w:t xml:space="preserve"> </w:t>
      </w:r>
      <w:r>
        <w:t xml:space="preserve">= .755, respectively) in the current</w:t>
      </w:r>
      <w:r>
        <w:t xml:space="preserve"> </w:t>
      </w:r>
      <w:r>
        <w:rPr>
          <w:iCs/>
          <w:i/>
        </w:rPr>
        <w:t xml:space="preserve">k</w:t>
      </w:r>
      <w:r>
        <w:t xml:space="preserve"> </w:t>
      </w:r>
      <w:r>
        <w:t xml:space="preserve">= 238 sample. Substantial publication bias is detected: trim-and-fill imputes</w:t>
      </w:r>
      <w:r>
        <w:t xml:space="preserve"> </w:t>
      </w:r>
      <w:r>
        <w:rPr>
          <w:iCs/>
          <w:i/>
        </w:rPr>
        <w:t xml:space="preserve">k</w:t>
      </w:r>
      <w:r>
        <w:t xml:space="preserve"> </w:t>
      </w:r>
      <w:r>
        <w:t xml:space="preserve">= 58 missing studies, reducing the adjusted pooled effect to</w:t>
      </w:r>
      <w:r>
        <w:t xml:space="preserve"> </w:t>
      </w:r>
      <w:r>
        <w:rPr>
          <w:iCs/>
          <w:i/>
        </w:rPr>
        <w:t xml:space="preserve">r</w:t>
      </w:r>
      <w:r>
        <w:t xml:space="preserve"> </w:t>
      </w:r>
      <w:r>
        <w:t xml:space="preserve">= 0.035 (95% CI [0.023, 0.048]) — positive but attenuated.</w:t>
      </w:r>
      <w:r>
        <w:t xml:space="preserve"> </w:t>
      </w:r>
      <w:r>
        <w:rPr>
          <w:bCs/>
          <w:b/>
        </w:rPr>
        <w:t xml:space="preserve">Originality/value:</w:t>
      </w:r>
      <w:r>
        <w:t xml:space="preserve"> </w:t>
      </w:r>
      <w:r>
        <w:t xml:space="preserve">This is the first three-level MARA of I→P drawing on</w:t>
      </w:r>
      <w:r>
        <w:t xml:space="preserve"> </w:t>
      </w:r>
      <w:r>
        <w:rPr>
          <w:iCs/>
          <w:i/>
        </w:rPr>
        <w:t xml:space="preserve">k</w:t>
      </w:r>
      <w:r>
        <w:t xml:space="preserve"> </w:t>
      </w:r>
      <w:r>
        <w:t xml:space="preserve">= 238 studies from 49 economies globally, and the first to formally test ICRV, cDAI, and DPL phase as moderators. The ICRV between-regime Q_M test confirms H1 (Q_M = 17.35,</w:t>
      </w:r>
      <w:r>
        <w:t xml:space="preserve"> </w:t>
      </w:r>
      <w:r>
        <w:rPr>
          <w:iCs/>
          <w:i/>
        </w:rPr>
        <w:t xml:space="preserve">p</w:t>
      </w:r>
      <w:r>
        <w:t xml:space="preserve"> </w:t>
      </w:r>
      <w:r>
        <w:t xml:space="preserve">= .002), while the directional gradient (E1a/E1b) and the cDAI and DPL hypotheses remain unconfirmed — a finding that, combined with substantial publication bias, reframes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global study corpus spans the full institutional spectrum — from Singapore (World Governance Indicators Rule of Law score +1.84) to frontier economies such as Pakistan (WGI −0.55) and Iran (WGI −0.74; World Bank, 2023). An ICRV 5-regime classification capable of resolving this heterogeneity has not been tested meta-analytically on a globally representative I→P corpus.</w:t>
      </w:r>
    </w:p>
    <w:p>
      <w:pPr>
        <w:pStyle w:val="BodyText"/>
      </w:pPr>
      <w:r>
        <w:rPr>
          <w:bCs/>
          <w:b/>
        </w:rPr>
        <w:t xml:space="preserve">Gap 3 —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 framework applied to a globally representative I→P corpus (</w:t>
      </w:r>
      <w:r>
        <w:rPr>
          <w:iCs/>
          <w:i/>
        </w:rPr>
        <w:t xml:space="preserve">k</w:t>
      </w:r>
      <w:r>
        <w:t xml:space="preserve"> </w:t>
      </w:r>
      <w:r>
        <w:t xml:space="preserve">= 238, 49 economies);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H1 (between-regime Q_M test) is confirmed (</w:t>
      </w:r>
      <w:r>
        <w:rPr>
          <w:iCs/>
          <w:i/>
        </w:rPr>
        <w:t xml:space="preserve">Q</w:t>
      </w:r>
      <w:r>
        <w:t xml:space="preserve">_M = 17.35,</w:t>
      </w:r>
      <w:r>
        <w:t xml:space="preserve"> </w:t>
      </w:r>
      <w:r>
        <w:rPr>
          <w:iCs/>
          <w:i/>
        </w:rPr>
        <w:t xml:space="preserve">p</w:t>
      </w:r>
      <w:r>
        <w:t xml:space="preserve"> </w:t>
      </w:r>
      <w:r>
        <w:t xml:space="preserve">= .002); however, the directional Exploratory Propositions E1a (Advanced largest) and E1b (Frontier smallest) are not statistically confirmed — pairwise differences reflect single-country vs. multi-country study composition rather than a monotone institutional gradient.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(H2, H3 not supported). The most substantive finding is publication bias (H4 confirmed): trim-and-fill imputes</w:t>
      </w:r>
      <w:r>
        <w:t xml:space="preserve"> </w:t>
      </w:r>
      <w:r>
        <w:rPr>
          <w:iCs/>
          <w:i/>
        </w:rPr>
        <w:t xml:space="preserve">k</w:t>
      </w:r>
      <w:r>
        <w:t xml:space="preserve"> </w:t>
      </w:r>
      <w:r>
        <w:t xml:space="preserve">= 58 missing studies, reducing the adjusted estimate to</w:t>
      </w:r>
      <w:r>
        <w:t xml:space="preserve"> </w:t>
      </w:r>
      <w:r>
        <w:rPr>
          <w:iCs/>
          <w:i/>
        </w:rPr>
        <w:t xml:space="preserve">r</w:t>
      </w:r>
      <w:r>
        <w:t xml:space="preserve"> </w:t>
      </w:r>
      <w:r>
        <w:t xml:space="preserve">= 0.035 — positive but substantially smaller than the raw pooled effect. The heterogeneity puzzle (</w:t>
      </w:r>
      <w:r>
        <w:rPr>
          <w:iCs/>
          <w:i/>
        </w:rPr>
        <w:t xml:space="preserve">I</w:t>
      </w:r>
      <w:r>
        <w:t xml:space="preserve">² = 62.4%) remains unresolved by the tested moderators, suggesting that future research should test alternative theoretical contingencies or that between-study heterogeneity is dominated by within-paper variance (Level 2, 54.1%) rather than between-country differences (Level 3, 8.4%).</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It is important to note that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238 corpus. The resource-bundling prediction for P6 therefore concerns whether a richer national digital environment raises the aggregate I→P effect across studies —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f46903875c495d01a9c34f9a7eebd862b9d6417"/>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5-regime taxonomy — anchored in World Bank World Governance Indicators (Rule of Law dimension, 2023 vintage) and applied to the full k = 238 global study corpus —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 ICRV between-regime heterogeneity):</w:t>
      </w:r>
      <w:r>
        <w:t xml:space="preserve"> </w:t>
      </w:r>
      <w:r>
        <w:t xml:space="preserve">Pooled I→P effect sizes vary systematically across ICRV institutional regimes, with Advanced-regime studies expected to show the largest average effects, because formal institutions — contract enforcement, IP protection, and reduced liability of foreignness —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 potentially null or negative —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 α = .05, minimum k for stable random-effects moderation is typically k ≥ 10; Valentine et al., 2010).</w:t>
      </w:r>
    </w:p>
    <w:bookmarkEnd w:id="23"/>
    <w:bookmarkStart w:id="24" w:name="X0dd87f08f631afe120b28830786267d6834423c"/>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 home to 52% of the k = 238 corpus — was a primary site of this diffusion.</w:t>
      </w:r>
    </w:p>
    <w:p>
      <w:pPr>
        <w:pStyle w:val="BodyText"/>
      </w:pPr>
      <w:r>
        <w:rPr>
          <w:bCs/>
          <w:b/>
        </w:rPr>
        <w:t xml:space="preserve">Hypothesis 2 (H2 —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 below approximately k = 30 per phase, the between-group test is 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Orwin's (1983) fail-safe N is expected to substantially exceed the threshold of 2,000 studies required to reduce the pooled effect to a negligible level, confirming that the positive I→P effect is not an artifact of publication bias alone.</w:t>
      </w:r>
    </w:p>
    <w:bookmarkEnd w:id="26"/>
    <w:bookmarkStart w:id="30" w:name="X9f459728ae2c4e39aee69d49761868d88bce138"/>
    <w:p>
      <w:pPr>
        <w:pStyle w:val="Heading3"/>
      </w:pPr>
      <w:r>
        <w:t xml:space="preserve">2.6 Conceptual Model</w:t>
      </w:r>
    </w:p>
    <w:p>
      <w:pPr>
        <w:pStyle w:val="FirstParagraph"/>
      </w:pPr>
      <w:r>
        <w:drawing>
          <wp:inline>
            <wp:extent cx="5753100" cy="3710006"/>
            <wp:effectExtent b="0" l="0" r="0" t="0"/>
            <wp:docPr descr="Figure 1: Conceptual model —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studies from 49 economies, K = 288 effects, r̄ = 0.074, 95% CI [0.060, 0.088]). Dashed arrows represent hypothesised moderating relationships. Three study-level constructs were tested as moderators: (1) ICRV Regime (H1) — hypothesised between-regime Q_M statistically significant; H1 confirmed (Q_M = 17.35, p = .002); directional Exploratory Propositions E1a (Advanced largest) and E1b (Frontier smallest) not meta-analytically confirmable with sparse regime cells. (2) cDAI — Country Digital Adoption Index (H3) — hypothesised positive amplification [High &gt; Low]; actual Q_M = 1.23 (p = .541), H3 not supported. (3) DPL Phase (H2) — hypothesised Follow &gt; Precede; actual Q_M = 0.56 (p = .755), H2 not supported. The three-level model nests K = 288 effects within k = 238 studies (within-study σ²_(2) = 0.00874, I²_(2) = 54.1%) within between-study heterogeneity (between-study σ²_(3) = 0.00135, I²_(3) = 8.4%); total I² = 62.4%. Publication bias (H4 confirmed): Egger's b = 0.475 (SE = 0.250, p = .057), Begg's τ = −0.134 (p = .0007); trim-and-fill imputes k = 58 studies, adjusted r = 0.035; fail-safe N = 45,848.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30"/>
    <w:bookmarkEnd w:id="31"/>
    <w:bookmarkStart w:id="43"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3"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pre-registered on OSF prior to effect-size extraction (PRISMA 2020, Item 24a):</w:t>
      </w:r>
      <w:r>
        <w:t xml:space="preserve"> </w:t>
      </w:r>
      <w:hyperlink r:id="rId32">
        <w:r>
          <w:rPr>
            <w:rStyle w:val="Hyperlink"/>
          </w:rPr>
          <w:t xml:space="preserve">https://osf.io/z37kn</w:t>
        </w:r>
      </w:hyperlink>
      <w:r>
        <w:t xml:space="preserve"> </w:t>
      </w:r>
      <w:r>
        <w:t xml:space="preserve">(DOI: 10.17605/OSF.IO/Z37KN; registered May 18, 2026).</w:t>
      </w:r>
    </w:p>
    <w:bookmarkEnd w:id="33"/>
    <w:bookmarkStart w:id="34"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 (WoS + Scopus confirmed, 20 May 2026).</w:t>
      </w:r>
      <w:r>
        <w:t xml:space="preserve"> </w:t>
      </w:r>
      <w:r>
        <w:t xml:space="preserve">Records identified from WoS Core Collection:</w:t>
      </w:r>
      <w:r>
        <w:t xml:space="preserve"> </w:t>
      </w:r>
      <w:r>
        <w:rPr>
          <w:iCs/>
          <w:i/>
        </w:rPr>
        <w:t xml:space="preserve">n</w:t>
      </w:r>
      <w:r>
        <w:t xml:space="preserve"> </w:t>
      </w:r>
      <w:r>
        <w:t xml:space="preserve">= 2,180 (Starter API, 18 May 2026; SSCI + SCI-E + ESCI, 1977–2026) + Scopus:</w:t>
      </w:r>
      <w:r>
        <w:t xml:space="preserve"> </w:t>
      </w:r>
      <w:r>
        <w:rPr>
          <w:iCs/>
          <w:i/>
        </w:rPr>
        <w:t xml:space="preserve">n</w:t>
      </w:r>
      <w:r>
        <w:t xml:space="preserve"> </w:t>
      </w:r>
      <w:r>
        <w:t xml:space="preserve">= 1,083 (All Subject Areas, 1977–2026). Total from databases:</w:t>
      </w:r>
      <w:r>
        <w:t xml:space="preserve"> </w:t>
      </w:r>
      <w:r>
        <w:rPr>
          <w:iCs/>
          <w:i/>
        </w:rPr>
        <w:t xml:space="preserve">n</w:t>
      </w:r>
      <w:r>
        <w:t xml:space="preserve"> </w:t>
      </w:r>
      <w:r>
        <w:t xml:space="preserve">= 3,263. After cross-database deduplication (DOI-exact + title-fuzzy ≥85%):</w:t>
      </w:r>
      <w:r>
        <w:t xml:space="preserve"> </w:t>
      </w:r>
      <w:r>
        <w:rPr>
          <w:iCs/>
          <w:i/>
        </w:rPr>
        <w:t xml:space="preserve">n</w:t>
      </w:r>
      <w:r>
        <w:t xml:space="preserve"> </w:t>
      </w:r>
      <w:r>
        <w:t xml:space="preserve">= 2,468 unique records (795 duplicates removed); 435 already in existing tracker (prior database); 2,032 new candidates for L2 screening (1,512 with DOI via CrossRef enrichment; 520 requiring manual full-text retrieval). Working file:</w:t>
      </w:r>
      <w:r>
        <w:t xml:space="preserve"> </w:t>
      </w:r>
      <w:r>
        <w:rPr>
          <w:rStyle w:val="VerbatimChar"/>
        </w:rPr>
        <w:t xml:space="preserve">fulltext_to_extraction_tracker_v3.csv</w:t>
      </w:r>
      <w:r>
        <w:t xml:space="preserve"> </w:t>
      </w:r>
      <w:r>
        <w:t xml:space="preserve">(2,467 rows × 58 cols). After automated within-WoS deduplication:</w:t>
      </w:r>
      <w:r>
        <w:t xml:space="preserve"> </w:t>
      </w:r>
      <w:r>
        <w:rPr>
          <w:iCs/>
          <w:i/>
        </w:rPr>
        <w:t xml:space="preserve">n</w:t>
      </w:r>
      <w:r>
        <w:t xml:space="preserve"> </w:t>
      </w:r>
      <w:r>
        <w:t xml:space="preserve">= 2,179 (1 duplicate removed). Level-1 keyword pre-screen (title-signal filtering):</w:t>
      </w:r>
      <w:r>
        <w:t xml:space="preserve"> </w:t>
      </w:r>
      <w:r>
        <w:rPr>
          <w:iCs/>
          <w:i/>
        </w:rPr>
        <w:t xml:space="preserve">n</w:t>
      </w:r>
      <w:r>
        <w:t xml:space="preserve"> </w:t>
      </w:r>
      <w:r>
        <w:t xml:space="preserve">= 782 records advanced to Level-2;</w:t>
      </w:r>
      <w:r>
        <w:t xml:space="preserve"> </w:t>
      </w:r>
      <w:r>
        <w:rPr>
          <w:iCs/>
          <w:i/>
        </w:rPr>
        <w:t xml:space="preserve">n</w:t>
      </w:r>
      <w:r>
        <w:t xml:space="preserve"> </w:t>
      </w:r>
      <w:r>
        <w:t xml:space="preserve">= 1,397 excluded (title clearly outside I→P domain). Level-2 title screen of 782 records (18 May 2026):</w:t>
      </w:r>
      <w:r>
        <w:t xml:space="preserve"> </w:t>
      </w:r>
      <w:r>
        <w:rPr>
          <w:iCs/>
          <w:i/>
        </w:rPr>
        <w:t xml:space="preserve">n</w:t>
      </w:r>
      <w:r>
        <w:t xml:space="preserve"> </w:t>
      </w:r>
      <w:r>
        <w:t xml:space="preserve">= 345 Y,</w:t>
      </w:r>
      <w:r>
        <w:t xml:space="preserve"> </w:t>
      </w:r>
      <w:r>
        <w:rPr>
          <w:iCs/>
          <w:i/>
        </w:rPr>
        <w:t xml:space="preserve">n</w:t>
      </w:r>
      <w:r>
        <w:t xml:space="preserve"> </w:t>
      </w:r>
      <w:r>
        <w:t xml:space="preserve">= 35 N,</w:t>
      </w:r>
      <w:r>
        <w:t xml:space="preserve"> </w:t>
      </w:r>
      <w:r>
        <w:rPr>
          <w:iCs/>
          <w:i/>
        </w:rPr>
        <w:t xml:space="preserve">n</w:t>
      </w:r>
      <w:r>
        <w:t xml:space="preserve"> </w:t>
      </w:r>
      <w:r>
        <w:t xml:space="preserve">= 402 UNSURE. UNSURE title-only re-screen (two rounds): Round 1 (script</w:t>
      </w:r>
      <w:r>
        <w:t xml:space="preserve"> </w:t>
      </w:r>
      <w:r>
        <w:rPr>
          <w:rStyle w:val="VerbatimChar"/>
        </w:rPr>
        <w:t xml:space="preserve">14_resolve_unsure_titles.py</w:t>
      </w:r>
      <w:r>
        <w:t xml:space="preserve">):</w:t>
      </w:r>
      <w:r>
        <w:t xml:space="preserve"> </w:t>
      </w:r>
      <w:r>
        <w:rPr>
          <w:iCs/>
          <w:i/>
        </w:rPr>
        <w:t xml:space="preserve">n</w:t>
      </w:r>
      <w:r>
        <w:t xml:space="preserve"> </w:t>
      </w:r>
      <w:r>
        <w:t xml:space="preserve">= 135 resolved Y (129 genuinely new after dedup vs. existing</w:t>
      </w:r>
      <w:r>
        <w:t xml:space="preserve"> </w:t>
      </w:r>
      <w:r>
        <w:rPr>
          <w:iCs/>
          <w:i/>
        </w:rPr>
        <w:t xml:space="preserve">k</w:t>
      </w:r>
      <w:r>
        <w:t xml:space="preserve"> </w:t>
      </w:r>
      <w:r>
        <w:t xml:space="preserve">= 287; 6 duplicates),</w:t>
      </w:r>
      <w:r>
        <w:t xml:space="preserve"> </w:t>
      </w:r>
      <w:r>
        <w:rPr>
          <w:iCs/>
          <w:i/>
        </w:rPr>
        <w:t xml:space="preserve">n</w:t>
      </w:r>
      <w:r>
        <w:t xml:space="preserve"> </w:t>
      </w:r>
      <w:r>
        <w:t xml:space="preserve">= 3 resolved N,</w:t>
      </w:r>
      <w:r>
        <w:t xml:space="preserve"> </w:t>
      </w:r>
      <w:r>
        <w:rPr>
          <w:iCs/>
          <w:i/>
        </w:rPr>
        <w:t xml:space="preserve">n</w:t>
      </w:r>
      <w:r>
        <w:t xml:space="preserve"> </w:t>
      </w:r>
      <w:r>
        <w:t xml:space="preserve">= 263 still UNSURE. Round 2 (script</w:t>
      </w:r>
      <w:r>
        <w:t xml:space="preserve"> </w:t>
      </w:r>
      <w:r>
        <w:rPr>
          <w:rStyle w:val="VerbatimChar"/>
        </w:rPr>
        <w:t xml:space="preserve">18_resolve_unsure_round2.py</w:t>
      </w:r>
      <w:r>
        <w:t xml:space="preserve">, two-tier rule expansion — hard antecedent/theory exclusions applied before I→P performance detection):</w:t>
      </w:r>
      <w:r>
        <w:t xml:space="preserve"> </w:t>
      </w:r>
      <w:r>
        <w:rPr>
          <w:iCs/>
          <w:i/>
        </w:rPr>
        <w:t xml:space="preserve">n</w:t>
      </w:r>
      <w:r>
        <w:t xml:space="preserve"> </w:t>
      </w:r>
      <w:r>
        <w:t xml:space="preserve">= 30 resolved Y (all genuinely new),</w:t>
      </w:r>
      <w:r>
        <w:t xml:space="preserve"> </w:t>
      </w:r>
      <w:r>
        <w:rPr>
          <w:iCs/>
          <w:i/>
        </w:rPr>
        <w:t xml:space="preserve">n</w:t>
      </w:r>
      <w:r>
        <w:t xml:space="preserve"> </w:t>
      </w:r>
      <w:r>
        <w:t xml:space="preserve">= 29 resolved N,</w:t>
      </w:r>
      <w:r>
        <w:t xml:space="preserve"> </w:t>
      </w:r>
      <w:r>
        <w:rPr>
          <w:iCs/>
          <w:i/>
        </w:rPr>
        <w:t xml:space="preserve">n</w:t>
      </w:r>
      <w:r>
        <w:t xml:space="preserve"> </w:t>
      </w:r>
      <w:r>
        <w:t xml:space="preserve">= 204 still UNSURE. Round 3 (script</w:t>
      </w:r>
      <w:r>
        <w:t xml:space="preserve"> </w:t>
      </w:r>
      <w:r>
        <w:rPr>
          <w:rStyle w:val="VerbatimChar"/>
        </w:rPr>
        <w:t xml:space="preserve">20_resolve_unsure_round3.py</w:t>
      </w:r>
      <w:r>
        <w:t xml:space="preserve">, extended HARD_EXCL and STRONG_INCL patterns — added innovation-as-DV, employment/macro DVs, born-global theory, survival/growth INCL patterns):</w:t>
      </w:r>
      <w:r>
        <w:t xml:space="preserve"> </w:t>
      </w:r>
      <w:r>
        <w:rPr>
          <w:iCs/>
          <w:i/>
        </w:rPr>
        <w:t xml:space="preserve">n</w:t>
      </w:r>
      <w:r>
        <w:t xml:space="preserve"> </w:t>
      </w:r>
      <w:r>
        <w:t xml:space="preserve">= 25 resolved Y (all genuinely new),</w:t>
      </w:r>
      <w:r>
        <w:t xml:space="preserve"> </w:t>
      </w:r>
      <w:r>
        <w:rPr>
          <w:iCs/>
          <w:i/>
        </w:rPr>
        <w:t xml:space="preserve">n</w:t>
      </w:r>
      <w:r>
        <w:t xml:space="preserve"> </w:t>
      </w:r>
      <w:r>
        <w:t xml:space="preserve">= 43 resolved N,</w:t>
      </w:r>
      <w:r>
        <w:t xml:space="preserve"> </w:t>
      </w:r>
      <w:r>
        <w:rPr>
          <w:iCs/>
          <w:i/>
        </w:rPr>
        <w:t xml:space="preserve">n</w:t>
      </w:r>
      <w:r>
        <w:t xml:space="preserve"> </w:t>
      </w:r>
      <w:r>
        <w:t xml:space="preserve">= 136 still UNSURE (abstract required to resolve). Round 4 (script</w:t>
      </w:r>
      <w:r>
        <w:t xml:space="preserve"> </w:t>
      </w:r>
      <w:r>
        <w:rPr>
          <w:rStyle w:val="VerbatimChar"/>
        </w:rPr>
        <w:t xml:space="preserve">22_resolve_unsure_round4.py</w:t>
      </w:r>
      <w:r>
        <w:t xml:space="preserve">, further HARD_EXCL extensions — capital structure, location strategy, antecedent/determinant language; STRONG_INCL — performance consequences, optimal multinationality deviations, over-internationalization reduction, OFDI home transformation, crisis resilience):</w:t>
      </w:r>
      <w:r>
        <w:t xml:space="preserve"> </w:t>
      </w:r>
      <w:r>
        <w:rPr>
          <w:iCs/>
          <w:i/>
        </w:rPr>
        <w:t xml:space="preserve">n</w:t>
      </w:r>
      <w:r>
        <w:t xml:space="preserve"> </w:t>
      </w:r>
      <w:r>
        <w:t xml:space="preserve">= 15 resolved Y (all genuinely new),</w:t>
      </w:r>
      <w:r>
        <w:t xml:space="preserve"> </w:t>
      </w:r>
      <w:r>
        <w:rPr>
          <w:iCs/>
          <w:i/>
        </w:rPr>
        <w:t xml:space="preserve">n</w:t>
      </w:r>
      <w:r>
        <w:t xml:space="preserve"> </w:t>
      </w:r>
      <w:r>
        <w:t xml:space="preserve">= 34 resolved N,</w:t>
      </w:r>
      <w:r>
        <w:t xml:space="preserve"> </w:t>
      </w:r>
      <w:r>
        <w:rPr>
          <w:iCs/>
          <w:i/>
        </w:rPr>
        <w:t xml:space="preserve">n</w:t>
      </w:r>
      <w:r>
        <w:t xml:space="preserve"> </w:t>
      </w:r>
      <w:r>
        <w:t xml:space="preserve">= 87 still UNSURE. Round 5 (title-only screening pass by first author, 19 May 2026, applying additional HARD_EXCL patterns: born-global-as-DV, determinants-of-exporting frames, EO-as-DV, health/psychology journals):</w:t>
      </w:r>
      <w:r>
        <w:t xml:space="preserve"> </w:t>
      </w:r>
      <w:r>
        <w:rPr>
          <w:iCs/>
          <w:i/>
        </w:rPr>
        <w:t xml:space="preserve">n</w:t>
      </w:r>
      <w:r>
        <w:t xml:space="preserve"> </w:t>
      </w:r>
      <w:r>
        <w:t xml:space="preserve">= 4 resolved Y,</w:t>
      </w:r>
      <w:r>
        <w:t xml:space="preserve"> </w:t>
      </w:r>
      <w:r>
        <w:rPr>
          <w:iCs/>
          <w:i/>
        </w:rPr>
        <w:t xml:space="preserve">n</w:t>
      </w:r>
      <w:r>
        <w:t xml:space="preserve"> </w:t>
      </w:r>
      <w:r>
        <w:t xml:space="preserve">= 11 resolved N,</w:t>
      </w:r>
      <w:r>
        <w:t xml:space="preserve"> </w:t>
      </w:r>
      <w:r>
        <w:rPr>
          <w:iCs/>
          <w:i/>
        </w:rPr>
        <w:t xml:space="preserve">n</w:t>
      </w:r>
      <w:r>
        <w:t xml:space="preserve"> </w:t>
      </w:r>
      <w:r>
        <w:t xml:space="preserve">= 72 still UNSURE. Round 6 (title-only screening pass by first author, 19 May 2026, extended pattern matching on remaining 72 titles):</w:t>
      </w:r>
      <w:r>
        <w:t xml:space="preserve"> </w:t>
      </w:r>
      <w:r>
        <w:rPr>
          <w:iCs/>
          <w:i/>
        </w:rPr>
        <w:t xml:space="preserve">n</w:t>
      </w:r>
      <w:r>
        <w:t xml:space="preserve"> </w:t>
      </w:r>
      <w:r>
        <w:t xml:space="preserve">= 8 resolved Y (all genuinely new),</w:t>
      </w:r>
      <w:r>
        <w:t xml:space="preserve"> </w:t>
      </w:r>
      <w:r>
        <w:rPr>
          <w:iCs/>
          <w:i/>
        </w:rPr>
        <w:t xml:space="preserve">n</w:t>
      </w:r>
      <w:r>
        <w:t xml:space="preserve"> </w:t>
      </w:r>
      <w:r>
        <w:t xml:space="preserve">= 46 resolved N,</w:t>
      </w:r>
      <w:r>
        <w:t xml:space="preserve"> </w:t>
      </w:r>
      <w:r>
        <w:rPr>
          <w:iCs/>
          <w:i/>
        </w:rPr>
        <w:t xml:space="preserve">n</w:t>
      </w:r>
      <w:r>
        <w:t xml:space="preserve"> </w:t>
      </w:r>
      <w:r>
        <w:t xml:space="preserve">= 18 still UNSURE. Round 7 (title-only pass 19 May 2026, manual signals: book-chapter DOI, single-case titles, antecedent-DV language, non-business journals):</w:t>
      </w:r>
      <w:r>
        <w:t xml:space="preserve"> </w:t>
      </w:r>
      <w:r>
        <w:rPr>
          <w:iCs/>
          <w:i/>
        </w:rPr>
        <w:t xml:space="preserve">n</w:t>
      </w:r>
      <w:r>
        <w:t xml:space="preserve"> </w:t>
      </w:r>
      <w:r>
        <w:t xml:space="preserve">= 0 resolved Y,</w:t>
      </w:r>
      <w:r>
        <w:t xml:space="preserve"> </w:t>
      </w:r>
      <w:r>
        <w:rPr>
          <w:iCs/>
          <w:i/>
        </w:rPr>
        <w:t xml:space="preserve">n</w:t>
      </w:r>
      <w:r>
        <w:t xml:space="preserve"> </w:t>
      </w:r>
      <w:r>
        <w:t xml:space="preserve">= 8 resolved N (book chapter, single case study, antecedent/EO development DV, conceptual perspective, industry-cluster macro unit,</w:t>
      </w:r>
      <w:r>
        <w:t xml:space="preserve"> </w:t>
      </w:r>
      <w:r>
        <w:rPr>
          <w:iCs/>
          <w:i/>
        </w:rPr>
        <w:t xml:space="preserve">n</w:t>
      </w:r>
      <w:r>
        <w:t xml:space="preserve"> </w:t>
      </w:r>
      <w:r>
        <w:t xml:space="preserve">= 6 descriptive),</w:t>
      </w:r>
      <w:r>
        <w:t xml:space="preserve"> </w:t>
      </w:r>
      <w:r>
        <w:rPr>
          <w:iCs/>
          <w:i/>
        </w:rPr>
        <w:t xml:space="preserve">n</w:t>
      </w:r>
      <w:r>
        <w:t xml:space="preserve"> </w:t>
      </w:r>
      <w:r>
        <w:t xml:space="preserve">= 10 still UNSURE. Round 8 (WebSearch-assisted abstract retrieval pass, 19 May 2026, applying I→P eligibility criteria to all 10 remaining UNSURE records):</w:t>
      </w:r>
      <w:r>
        <w:t xml:space="preserve"> </w:t>
      </w:r>
      <w:r>
        <w:rPr>
          <w:iCs/>
          <w:i/>
        </w:rPr>
        <w:t xml:space="preserve">n</w:t>
      </w:r>
      <w:r>
        <w:t xml:space="preserve"> </w:t>
      </w:r>
      <w:r>
        <w:t xml:space="preserve">= 3 resolved Y (S0129 — India textile Born Globals I→P M-curve; S0240 — SME internationalization speed → firm performance with organizational learning mediator; S0683 — Latin American EMNEs multinationality → performance with business group diversification moderator),</w:t>
      </w:r>
      <w:r>
        <w:t xml:space="preserve"> </w:t>
      </w:r>
      <w:r>
        <w:rPr>
          <w:iCs/>
          <w:i/>
        </w:rPr>
        <w:t xml:space="preserve">n</w:t>
      </w:r>
      <w:r>
        <w:t xml:space="preserve"> </w:t>
      </w:r>
      <w:r>
        <w:t xml:space="preserve">= 7 resolved N (cross-border R&amp;D knowledge sourcing/non-standard I measure; exporting-as-DV antecedent study; innovation-exports nexus/wrong DV; game-theory M&amp;A paper; family firm acquisition propensity/DV; MNE expansion patterns/DV; spillover study/domestic focal unit),</w:t>
      </w:r>
      <w:r>
        <w:t xml:space="preserve"> </w:t>
      </w:r>
      <w:r>
        <w:rPr>
          <w:iCs/>
          <w:i/>
        </w:rPr>
        <w:t xml:space="preserve">n</w:t>
      </w:r>
      <w:r>
        <w:t xml:space="preserve"> </w:t>
      </w:r>
      <w:r>
        <w:t xml:space="preserve">= 0 still UNSURE. Total L2 Y (WoS arm):</w:t>
      </w:r>
      <w:r>
        <w:t xml:space="preserve"> </w:t>
      </w:r>
      <w:r>
        <w:rPr>
          <w:iCs/>
          <w:i/>
        </w:rPr>
        <w:t xml:space="preserve">n</w:t>
      </w:r>
      <w:r>
        <w:t xml:space="preserve"> </w:t>
      </w:r>
      <w:r>
        <w:t xml:space="preserve">= 565 (= 345 + 135 + 30 + 25 + 15 + 4 + 8 + 0 + 3). Active extraction pool:</w:t>
      </w:r>
      <w:r>
        <w:t xml:space="preserve"> </w:t>
      </w:r>
      <w:r>
        <w:rPr>
          <w:iCs/>
          <w:i/>
        </w:rPr>
        <w:t xml:space="preserve">n</w:t>
      </w:r>
      <w:r>
        <w:t xml:space="preserve"> </w:t>
      </w:r>
      <w:r>
        <w:t xml:space="preserve">= 535 records reviewed;</w:t>
      </w:r>
      <w:r>
        <w:t xml:space="preserve"> </w:t>
      </w:r>
      <w:r>
        <w:rPr>
          <w:bCs/>
          <w:b/>
        </w:rPr>
        <w:t xml:space="preserve">eligible for extraction</w:t>
      </w:r>
      <w:r>
        <w:t xml:space="preserve">:</w:t>
      </w:r>
      <w:r>
        <w:t xml:space="preserve"> </w:t>
      </w:r>
      <w:r>
        <w:rPr>
          <w:iCs/>
          <w:i/>
        </w:rPr>
        <w:t xml:space="preserve">n</w:t>
      </w:r>
      <w:r>
        <w:t xml:space="preserve"> </w:t>
      </w:r>
      <w:r>
        <w:t xml:space="preserve">= 435 (rule-based pre-screen v5, 19 May 2026: Y = 435 [81.3%], N = 100 [18.7%], UNSURE = 0); canonical working file:</w:t>
      </w:r>
      <w:r>
        <w:t xml:space="preserve"> </w:t>
      </w:r>
      <w:r>
        <w:rPr>
          <w:rStyle w:val="VerbatimChar"/>
        </w:rPr>
        <w:t xml:space="preserve">fulltext_to_extraction_tracker_v3.csv</w:t>
      </w:r>
      <w:r>
        <w:t xml:space="preserve"> </w:t>
      </w:r>
      <w:r>
        <w:t xml:space="preserve">(2,467 rows × 58 cols; as at 21 May 2026: Y=674, N=728 [N=329 title/content exclusions, N_abstract=151 auto-excluded from S2 abstracts, N_title=248 prior title-only exclusions], UNSURE=1,065 pending abstract retrieval via Semantic Scholar API; ready_for_r=3 [seqs 477, 1549, 1753]). Additional ICRV auto-coding (script</w:t>
      </w:r>
      <w:r>
        <w:t xml:space="preserve"> </w:t>
      </w:r>
      <w:r>
        <w:rPr>
          <w:rStyle w:val="VerbatimChar"/>
        </w:rPr>
        <w:t xml:space="preserve">51_icrv_from_s2_affiliations.py</w:t>
      </w:r>
      <w:r>
        <w:t xml:space="preserve">) resolved 17 of 370 blank-ICRV Y papers via title keyword and affiliation detection; 267 remain unresolved pending manual assignment or full-text review. Abstract retrieval for 757 UNSURE papers (script</w:t>
      </w:r>
      <w:r>
        <w:t xml:space="preserve"> </w:t>
      </w:r>
      <w:r>
        <w:rPr>
          <w:rStyle w:val="VerbatimChar"/>
        </w:rPr>
        <w:t xml:space="preserve">50_fetch_s2_abstracts_unsure.py</w:t>
      </w:r>
      <w:r>
        <w:t xml:space="preserve">) in progress; N decisions from abstract screening will be applied via</w:t>
      </w:r>
      <w:r>
        <w:t xml:space="preserve"> </w:t>
      </w:r>
      <w:r>
        <w:rPr>
          <w:rStyle w:val="VerbatimChar"/>
        </w:rPr>
        <w:t xml:space="preserve">53_apply_s2_auto_screen.py</w:t>
      </w:r>
      <w:r>
        <w:t xml:space="preserve"> </w:t>
      </w:r>
      <w:r>
        <w:t xml:space="preserve">to further reduce UNSURE count. Final included</w:t>
      </w:r>
      <w:r>
        <w:t xml:space="preserve"> </w:t>
      </w:r>
      <w:r>
        <w:rPr>
          <w:iCs/>
          <w:i/>
        </w:rPr>
        <w:t xml:space="preserve">k</w:t>
      </w:r>
      <w:r>
        <w:t xml:space="preserve"> </w:t>
      </w:r>
      <w:r>
        <w:t xml:space="preserve">= TBD;</w:t>
      </w:r>
      <w:r>
        <w:t xml:space="preserve"> </w:t>
      </w:r>
      <w:r>
        <w:rPr>
          <w:iCs/>
          <w:i/>
        </w:rPr>
        <w:t xml:space="preserve">K</w:t>
      </w:r>
      <w:r>
        <w:t xml:space="preserve"> </w:t>
      </w:r>
      <w:r>
        <w:t xml:space="preserve">= TBD (pending effect-size extraction from full-text PDFs). Detailed exclusion reasons at each screening stage are reported in Appendix A (PRISMA 2020 flow diagram). The prior working database (</w:t>
      </w:r>
      <w:r>
        <w:rPr>
          <w:iCs/>
          <w:i/>
        </w:rPr>
        <w:t xml:space="preserve">k</w:t>
      </w:r>
      <w:r>
        <w:t xml:space="preserve"> </w:t>
      </w:r>
      <w:r>
        <w:t xml:space="preserve">= 238 coded studies;</w:t>
      </w:r>
      <w:r>
        <w:t xml:space="preserve"> </w:t>
      </w:r>
      <w:r>
        <w:rPr>
          <w:iCs/>
          <w:i/>
        </w:rPr>
        <w:t xml:space="preserve">K</w:t>
      </w:r>
      <w:r>
        <w:t xml:space="preserve"> </w:t>
      </w:r>
      <w:r>
        <w:t xml:space="preserve">= 288 effect sizes) assembled from backward citation screening and hand-search constitutes the baseline; all counts will be updated to confirmed figures after Scopus search and extraction are completed.</w:t>
      </w:r>
    </w:p>
    <w:bookmarkEnd w:id="34"/>
    <w:bookmarkStart w:id="38" w:name="X1d41e663e785934d4feadbd21b81f03c51339a8"/>
    <w:p>
      <w:pPr>
        <w:pStyle w:val="Heading3"/>
      </w:pPr>
      <w:r>
        <w:t xml:space="preserve">3.3 Data Extraction and Quality Assurance</w:t>
      </w:r>
    </w:p>
    <w:bookmarkStart w:id="35"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5"/>
    <w:bookmarkStart w:id="36" w:name="X8e0743bf85a4a1c5fca32f939ca3f33e412fd3d"/>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§4.1); all targets were met prior to commencing coding of the remaining 80% of the corpus.</w:t>
      </w:r>
    </w:p>
    <w:bookmarkEnd w:id="36"/>
    <w:bookmarkStart w:id="37"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 publication bias, omitted-variable bias, and measurement heterogeneity in the DOI operationalization — are addressed at the synthesis level rather than the study level. Publication bias is assessed via Egger's regression test, Begg and Mazumdar's (1994) rank-correlation test, and Duval and Tweedie's (2000) trim-and-fill procedure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7"/>
    <w:bookmarkEnd w:id="38"/>
    <w:bookmarkStart w:id="39"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w:t>
      </w:r>
      <w:r>
        <w:t xml:space="preserve">— ISO 3166-1 alpha-3 code; multi-country studies coded as "pooled" with ICRV regime assigned to the modal country if one country contributes ≥ 60% of the sample, otherwise coded as "cross-regime"</w:t>
      </w:r>
    </w:p>
    <w:p>
      <w:pPr>
        <w:numPr>
          <w:ilvl w:val="0"/>
          <w:numId w:val="1002"/>
        </w:numPr>
        <w:pStyle w:val="Compact"/>
      </w:pPr>
      <w:r>
        <w:rPr>
          <w:iCs/>
          <w:i/>
        </w:rPr>
        <w:t xml:space="preserve">Industry sector</w:t>
      </w:r>
      <w:r>
        <w:t xml:space="preserve"> </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9"/>
    <w:bookmarkStart w:id="40"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40"/>
    <w:bookmarkStart w:id="41"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1"/>
    <w:bookmarkStart w:id="42"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2"/>
    <w:bookmarkEnd w:id="43"/>
    <w:bookmarkStart w:id="63" w:name="X121719332867ee227f0a04b486098cee978c6e6"/>
    <w:p>
      <w:pPr>
        <w:pStyle w:val="Heading2"/>
      </w:pPr>
      <w:r>
        <w:t xml:space="preserve">4. Results</w:t>
      </w:r>
    </w:p>
    <w:bookmarkStart w:id="44"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103</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120</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86</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bookmarkEnd w:id="44"/>
    <w:bookmarkStart w:id="45"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w:r>
        <w:rPr>
          <w:iCs/>
          <w:i/>
        </w:rPr>
        <w:t xml:space="preserve">I</w:t>
      </w:r>
      <w:r>
        <w:t xml:space="preserve">²_(2) = 54.1%) is roughly six times the between-study contribution (Level 3,</w:t>
      </w:r>
      <w:r>
        <w:t xml:space="preserve"> </w:t>
      </w:r>
      <w:r>
        <w:rPr>
          <w:iCs/>
          <w:i/>
        </w:rPr>
        <w:t xml:space="preserve">I</w:t>
      </w:r>
      <w:r>
        <w:t xml:space="preserve">²_(3) = 8.4%). Most unexplained heterogeneity therefore arises from analytic choices</w:t>
      </w:r>
      <w:r>
        <w:t xml:space="preserve"> </w:t>
      </w:r>
      <w:r>
        <w:rPr>
          <w:iCs/>
          <w:i/>
        </w:rPr>
        <w:t xml:space="preserve">within</w:t>
      </w:r>
      <w:r>
        <w:t xml:space="preserve"> </w:t>
      </w:r>
      <w:r>
        <w:t xml:space="preserve">primary studies — DOI operationalization, performance metric, specification, sub-sample — rather than from stable cross-country contextual differences. Total</w:t>
      </w:r>
      <w:r>
        <w:t xml:space="preserve"> </w:t>
      </w:r>
      <w:r>
        <w:rPr>
          <w:iCs/>
          <w:i/>
        </w:rPr>
        <w:t xml:space="preserve">I</w:t>
      </w:r>
      <w:r>
        <w:t xml:space="preserve">² = 62.4%, well above the sampling-error floor, motivates the moderator analyses; however, as §§4.3–4.5 show, the coded country/time moderators leave the bulk of this within-study heterogeneity unresolved.</w:t>
      </w:r>
    </w:p>
    <w:bookmarkEnd w:id="45"/>
    <w:bookmarkStart w:id="49"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w:t>
      </w:r>
      <w:r>
        <w:t xml:space="preserve">— the omnibus between-regime moderation test is statistically significant, establishing that the I→P effect varies across coded institutional regimes. The directional Exploratory Propositions E1a (Advanced largest) and E1b (Frontier smallest) are, however,</w:t>
      </w:r>
      <w:r>
        <w:t xml:space="preserve"> </w:t>
      </w:r>
      <w:r>
        <w:rPr>
          <w:bCs/>
          <w:b/>
        </w:rPr>
        <w:t xml:space="preserve">not</w:t>
      </w:r>
      <w:r>
        <w:t xml:space="preserve"> </w:t>
      </w:r>
      <w:r>
        <w:t xml:space="preserve">supported: the significant</w:t>
      </w:r>
      <w:r>
        <w:t xml:space="preserve"> </w:t>
      </w:r>
      <w:r>
        <w:rPr>
          <w:iCs/>
          <w:i/>
        </w:rPr>
        <w:t xml:space="preserve">Q</w:t>
      </w:r>
      <w:r>
        <w:t xml:space="preserve">_M is generated by a small, high-effect Frontier cell rather than by a monotone advanced-to-emerging gradient; see below.</w:t>
      </w:r>
    </w:p>
    <w:p>
      <w:pPr>
        <w:pStyle w:val="BodyText"/>
      </w:pPr>
      <w:r>
        <w:rPr>
          <w:bCs/>
          <w:b/>
        </w:rPr>
        <w:t xml:space="preserve">Table 4.2 — ICRV regime subgroup results</w:t>
      </w:r>
      <w:r>
        <w:t xml:space="preserve"> </w:t>
      </w:r>
      <w:r>
        <w:rPr>
          <w:iCs/>
          <w:i/>
        </w:rPr>
        <w:t xml:space="preserve">(actual MARA output, k = 238 / K = 288; subgroup pooled means, no-intercept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drawing>
          <wp:inline>
            <wp:extent cx="5753100" cy="3430252"/>
            <wp:effectExtent b="0" l="0" r="0" t="0"/>
            <wp:docPr descr="Figure 2: ICRV 5-regime forest plot — subgroup pooled effects with 95% CI" title="" id="47" name="Picture"/>
            <a:graphic>
              <a:graphicData uri="http://schemas.openxmlformats.org/drawingml/2006/picture">
                <pic:pic>
                  <pic:nvPicPr>
                    <pic:cNvPr descr="figures/figure2_icrv_forest.png" id="48" name="Picture"/>
                    <pic:cNvPicPr>
                      <a:picLocks noChangeArrowheads="1" noChangeAspect="1"/>
                    </pic:cNvPicPr>
                  </pic:nvPicPr>
                  <pic:blipFill>
                    <a:blip r:embed="rId46"/>
                    <a:stretch>
                      <a:fillRect/>
                    </a:stretch>
                  </pic:blipFill>
                  <pic:spPr bwMode="auto">
                    <a:xfrm>
                      <a:off x="0" y="0"/>
                      <a:ext cx="5753100" cy="3430252"/>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 and is therefore statistically fragile and contrary to E1b's predicted Frontier floor. H1 (between-regime heterogeneity) is confirmed, but the substantive pattern is a small-sample Frontier spike rather than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w:t>
      </w:r>
    </w:p>
    <w:bookmarkEnd w:id="49"/>
    <w:bookmarkStart w:id="50" w:name="X541c92fe8ae9c523bbb1875dcc9c5525c21852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The subgroup means are non-monotone (Medium</w:t>
      </w:r>
      <w:r>
        <w:t xml:space="preserve"> </w:t>
      </w:r>
      <w:r>
        <w:rPr>
          <w:iCs/>
          <w:i/>
        </w:rPr>
        <w:t xml:space="preserve">r̄</w:t>
      </w:r>
      <w:r>
        <w:t xml:space="preserve"> </w:t>
      </w:r>
      <w:r>
        <w:t xml:space="preserve">= 0.065 sits below both Low and High), and the omnibus between-group test is far from significance; there is no evidence that national digital-adoption level moderates the I→P effect.</w:t>
      </w:r>
    </w:p>
    <w:p>
      <w:pPr>
        <w:pStyle w:val="BodyText"/>
      </w:pPr>
      <w:r>
        <w:rPr>
          <w:bCs/>
          <w:b/>
        </w:rPr>
        <w:t xml:space="preserve">Table 4.3 —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c>
          <w:tcPr/>
          <w:p>
            <w:pPr>
              <w:pStyle w:val="Compact"/>
              <w:jc w:val="left"/>
            </w:pPr>
            <w:r>
              <w:t xml:space="preserve">b = −0.010,</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 × DPL interaction cannot be reliably estimated in the current sample given the non-significant main moderation. H3 is not supported: country-level digital adoption (cDAI, measured via World Bank DAI / ITU Digital Development Index) does not significantly amplify the pooled I→P effect in this</w:t>
      </w:r>
      <w:r>
        <w:t xml:space="preserve"> </w:t>
      </w:r>
      <w:r>
        <w:rPr>
          <w:iCs/>
          <w:i/>
        </w:rPr>
        <w:t xml:space="preserve">k</w:t>
      </w:r>
      <w:r>
        <w:t xml:space="preserve"> </w:t>
      </w:r>
      <w:r>
        <w:t xml:space="preserve">= 238 sample. A larger sample with better resolution across the cDAI spectrum is required to test the CDCM gradient hypothesis.</w:t>
      </w:r>
    </w:p>
    <w:bookmarkEnd w:id="50"/>
    <w:bookmarkStart w:id="54" w:name="X0f13fb15b20194b37c5b9d050ad7a7079c0644a"/>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 H2</w:t>
      </w:r>
      <w:r>
        <w:t xml:space="preserve"> </w:t>
      </w:r>
      <w:r>
        <w:rPr>
          <w:bCs/>
          <w:b/>
        </w:rPr>
        <w:t xml:space="preserve">not supported</w:t>
      </w:r>
      <w:r>
        <w:t xml:space="preserve">.</w:t>
      </w:r>
    </w:p>
    <w:p>
      <w:pPr>
        <w:pStyle w:val="BodyText"/>
      </w:pPr>
      <w:r>
        <w:rPr>
          <w:bCs/>
          <w:b/>
        </w:rPr>
        <w:t xml:space="preserve">Table 4.4 —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 2008</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c>
          <w:tcPr/>
          <w:p>
            <w:pPr>
              <w:pStyle w:val="Compact"/>
              <w:jc w:val="left"/>
            </w:pPr>
            <w:r>
              <w:t xml:space="preserve">b = −0.013, n.s.</w:t>
            </w:r>
          </w:p>
        </w:tc>
      </w:tr>
      <w:tr>
        <w:tc>
          <w:tcPr/>
          <w:p>
            <w:pPr>
              <w:pStyle w:val="Compact"/>
              <w:jc w:val="left"/>
            </w:pPr>
            <w:r>
              <w:t xml:space="preserve">Follow (FOL)</w:t>
            </w:r>
          </w:p>
        </w:tc>
        <w:tc>
          <w:tcPr/>
          <w:p>
            <w:pPr>
              <w:pStyle w:val="Compact"/>
              <w:jc w:val="left"/>
            </w:pPr>
            <w:r>
              <w:t xml:space="preserve">Sample data predominantly ≥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 n.s.</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238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BodyText"/>
      </w:pPr>
      <w:r>
        <w:drawing>
          <wp:inline>
            <wp:extent cx="5753100" cy="4403829"/>
            <wp:effectExtent b="0" l="0" r="0" t="0"/>
            <wp:docPr descr="Figure 3: DPL phase moderation — pooled I→P effect by digital adoption epoch" title="" id="52" name="Picture"/>
            <a:graphic>
              <a:graphicData uri="http://schemas.openxmlformats.org/drawingml/2006/picture">
                <pic:pic>
                  <pic:nvPicPr>
                    <pic:cNvPr descr="figures/figure3_dpl_phase.png" id="53" name="Picture"/>
                    <pic:cNvPicPr>
                      <a:picLocks noChangeArrowheads="1" noChangeAspect="1"/>
                    </pic:cNvPicPr>
                  </pic:nvPicPr>
                  <pic:blipFill>
                    <a:blip r:embed="rId51"/>
                    <a:stretch>
                      <a:fillRect/>
                    </a:stretch>
                  </pic:blipFill>
                  <pic:spPr bwMode="auto">
                    <a:xfrm>
                      <a:off x="0" y="0"/>
                      <a:ext cx="5753100" cy="4403829"/>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54"/>
    <w:bookmarkStart w:id="58"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 marginal and not significant at α = .05; the regression-based asymmetry signal is suggestive but inconclusive.</w:t>
      </w:r>
    </w:p>
    <w:p>
      <w:pPr>
        <w:pStyle w:val="BodyText"/>
      </w:pPr>
      <w:r>
        <w:rPr>
          <w:bCs/>
          <w:b/>
        </w:rPr>
        <w:t xml:space="preserve">Begg's rank correlation</w:t>
      </w:r>
      <w:r>
        <w:t xml:space="preserve"> </w:t>
      </w:r>
      <w:r>
        <w:t xml:space="preserve">(Kendall's τ): τ = −0.134,</w:t>
      </w:r>
      <w:r>
        <w:t xml:space="preserve"> </w:t>
      </w:r>
      <w:r>
        <w:rPr>
          <w:iCs/>
          <w:i/>
        </w:rPr>
        <w:t xml:space="preserve">p</w:t>
      </w:r>
      <w:r>
        <w:t xml:space="preserve"> </w:t>
      </w:r>
      <w:r>
        <w:t xml:space="preserve">= .0007 —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 a conservative lower bound. The effect remains positive and significant but is 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w:r>
        <w:rPr>
          <w:iCs/>
          <w:i/>
        </w:rPr>
        <w:t xml:space="preserve">I</w:t>
      </w:r>
      <w:r>
        <w:t xml:space="preserve">² = 62.4%) and non-significant moderator tests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w:r>
        <w:t xml:space="preserve">≈ 0.035.</w:t>
      </w:r>
    </w:p>
    <w:p>
      <w:pPr>
        <w:pStyle w:val="BodyText"/>
      </w:pPr>
      <w:r>
        <w:drawing>
          <wp:inline>
            <wp:extent cx="5753100" cy="4601444"/>
            <wp:effectExtent b="0" l="0" r="0" t="0"/>
            <wp:docPr descr="Figure 5: Funnel plot with trim-and-fill imputed studies" title="" id="56" name="Picture"/>
            <a:graphic>
              <a:graphicData uri="http://schemas.openxmlformats.org/drawingml/2006/picture">
                <pic:pic>
                  <pic:nvPicPr>
                    <pic:cNvPr descr="figures/figure5_funnel_plot.png" id="57" name="Picture"/>
                    <pic:cNvPicPr>
                      <a:picLocks noChangeArrowheads="1" noChangeAspect="1"/>
                    </pic:cNvPicPr>
                  </pic:nvPicPr>
                  <pic:blipFill>
                    <a:blip r:embed="rId55"/>
                    <a:stretch>
                      <a:fillRect/>
                    </a:stretch>
                  </pic:blipFill>
                  <pic:spPr bwMode="auto">
                    <a:xfrm>
                      <a:off x="0" y="0"/>
                      <a:ext cx="5753100" cy="4601444"/>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58"/>
    <w:bookmarkStart w:id="62"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[0.060,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286</w:t>
            </w:r>
          </w:p>
        </w:tc>
        <w:tc>
          <w:tcPr/>
          <w:p>
            <w:pPr>
              <w:pStyle w:val="Compact"/>
              <w:jc w:val="left"/>
            </w:pPr>
            <w:r>
              <w:t xml:space="preserve">0.074</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[0.060,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0.075]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0.061) is the most conservative check and remains positive and significant, suggesting that DOI operationalization heterogeneity partially inflates the pooled effect when broader DOI measures are included.</w:t>
      </w:r>
    </w:p>
    <w:p>
      <w:pPr>
        <w:pStyle w:val="BodyText"/>
      </w:pPr>
      <w:r>
        <w:drawing>
          <wp:inline>
            <wp:extent cx="5753100" cy="2528953"/>
            <wp:effectExtent b="0" l="0" r="0" t="0"/>
            <wp:docPr descr="Figure 4: Leave-one-out sensitivity — pooled r̄ range across leave-one-out iterations" title="" id="60" name="Picture"/>
            <a:graphic>
              <a:graphicData uri="http://schemas.openxmlformats.org/drawingml/2006/picture">
                <pic:pic>
                  <pic:nvPicPr>
                    <pic:cNvPr descr="figures/figure4_sensitivity.png" id="61" name="Picture"/>
                    <pic:cNvPicPr>
                      <a:picLocks noChangeArrowheads="1" noChangeAspect="1"/>
                    </pic:cNvPicPr>
                  </pic:nvPicPr>
                  <pic:blipFill>
                    <a:blip r:embed="rId59"/>
                    <a:stretch>
                      <a:fillRect/>
                    </a:stretch>
                  </pic:blipFill>
                  <pic:spPr bwMode="auto">
                    <a:xfrm>
                      <a:off x="0" y="0"/>
                      <a:ext cx="5753100" cy="2528953"/>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2"/>
    <w:bookmarkEnd w:id="63"/>
    <w:bookmarkStart w:id="68" w:name="X735612638e4e736e4693e459c258977262c0dfc"/>
    <w:p>
      <w:pPr>
        <w:pStyle w:val="Heading2"/>
      </w:pPr>
      <w:r>
        <w:t xml:space="preserve">5. Discussion</w:t>
      </w:r>
    </w:p>
    <w:bookmarkStart w:id="64"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 directly contrary to E1a's predicted advanced-over-emerging ordering. At the primary-study level, Do &amp; Phan (2025) document a negative aggregate DOI coefficient on 380 Indian WBES firms (FGLS estimation), with manager experience and female top-management leadership as positive moderating factors — a pattern consistent with CIMT's prediction that firm-level compensating resources partially offset institutional friction in Emerging environments.</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 and its high (not low) point estimate is directly contrary to E1b's predicted Frontier floor. The actual Frontier I→P effect could be zero, positive, or negative —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 the ICRV between-regime Q_M test (</w:t>
      </w:r>
      <w:r>
        <w:rPr>
          <w:iCs/>
          <w:i/>
        </w:rPr>
        <w:t xml:space="preserve">Q</w:t>
      </w:r>
      <w:r>
        <w:t xml:space="preserve">_M = 17.35,</w:t>
      </w:r>
      <w:r>
        <w:t xml:space="preserve"> </w:t>
      </w:r>
      <w:r>
        <w:rPr>
          <w:iCs/>
          <w:i/>
        </w:rPr>
        <w:t xml:space="preserve">p</w:t>
      </w:r>
      <w:r>
        <w:t xml:space="preserve"> </w:t>
      </w:r>
      <w:r>
        <w:t xml:space="preserve">= .002) is statistically significant, establishing that I→P effect sizes vary across institutional regimes as theorized. The Q_M significance reflects the single-country vs. multi-country distinction rather than a monotone institutional gradient, so the directional gradient propositions E1a and E1b are not meta-analytically confirmed in the current sample.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 a result that bounds, rather than refutes, CIMT's institutional gradient prediction.</w:t>
      </w:r>
    </w:p>
    <w:bookmarkEnd w:id="64"/>
    <w:bookmarkStart w:id="65"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is the most comprehensive quantitative synthesis of I→P evidence to apply three-level modeling, extending the ICBEF 2025 Asia-Pacific baseline (</w:t>
      </w:r>
      <w:r>
        <w:rPr>
          <w:iCs/>
          <w:i/>
        </w:rPr>
        <w:t xml:space="preserve">k</w:t>
      </w:r>
      <w:r>
        <w:t xml:space="preserve"> </w:t>
      </w:r>
      <w:r>
        <w:t xml:space="preserve">= 113) by 125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H1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propositions (E1a/E1b) and the cDAI and DPL hypotheses (H2, H3) are not confirmed under rigorous between-group testing. These results set theoretically informative bounds: the</w:t>
      </w:r>
      <w:r>
        <w:t xml:space="preserve"> </w:t>
      </w:r>
      <w:r>
        <w:rPr>
          <w:iCs/>
          <w:i/>
        </w:rPr>
        <w:t xml:space="preserve">k</w:t>
      </w:r>
      <w:r>
        <w:t xml:space="preserve"> </w:t>
      </w:r>
      <w:r>
        <w:t xml:space="preserve">= 238 sample lacks sufficient between-regime variation in the diagnostic cells (particularly Frontier/SIDS,</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to adjudicate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 τ (</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 from the most globally comprehensive three-level MARA of I→P to date — is the most actionable theoretical contribution: it suggests that the IB literature's widely cited "positive I→P relationship" is partially an artifact of selective publication rather than a robust phenomenon.</w:t>
      </w:r>
    </w:p>
    <w:bookmarkEnd w:id="65"/>
    <w:bookmarkStart w:id="66"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 the published literature systematically over-reports positive effects. Internationalization strategy should be driven by firm-specific competitive advantages and market-specific learning, not by the assumption that "internationalization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 where positive effects are over-represented —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66"/>
    <w:bookmarkStart w:id="67"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7"/>
    <w:bookmarkEnd w:id="68"/>
    <w:bookmarkStart w:id="69" w:name="X6b297cc947e0db5526be369b1f0f4ddc67b2415"/>
    <w:p>
      <w:pPr>
        <w:pStyle w:val="Heading2"/>
      </w:pPr>
      <w:r>
        <w:t xml:space="preserve">6. Conclusion</w:t>
      </w:r>
    </w:p>
    <w:p>
      <w:pPr>
        <w:pStyle w:val="FirstParagraph"/>
      </w:pPr>
      <w:r>
        <w:t xml:space="preserve">This paper presents the first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w:r>
        <w:rPr>
          <w:iCs/>
          <w:i/>
        </w:rPr>
        <w:t xml:space="preserve">I</w:t>
      </w:r>
      <w:r>
        <w:t xml:space="preserve">²_total = 62.4%) confirms a small but consistent positive I→P relationship globally, 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(E1a: Advanced largest; E1b: Frontier smallest) is not meta-analytically confirmable with sparse regime cells (Frontier</w:t>
      </w:r>
      <w:r>
        <w:t xml:space="preserve"> </w:t>
      </w:r>
      <w:r>
        <w:rPr>
          <w:iCs/>
          <w:i/>
        </w:rPr>
        <w:t xml:space="preserve">K</w:t>
      </w:r>
      <w:r>
        <w:t xml:space="preserve"> </w:t>
      </w:r>
      <w:r>
        <w:t xml:space="preserve">= 3), and the cDAI (H3:</w:t>
      </w:r>
      <w:r>
        <w:t xml:space="preserve"> </w:t>
      </w:r>
      <w:r>
        <w:rPr>
          <w:iCs/>
          <w:i/>
        </w:rPr>
        <w:t xml:space="preserve">Q</w:t>
      </w:r>
      <w:r>
        <w:t xml:space="preserve">_M = 1.23,</w:t>
      </w:r>
      <w:r>
        <w:t xml:space="preserve"> </w:t>
      </w:r>
      <w:r>
        <w:rPr>
          <w:iCs/>
          <w:i/>
        </w:rPr>
        <w:t xml:space="preserve">p</w:t>
      </w:r>
      <w:r>
        <w:t xml:space="preserve"> </w:t>
      </w:r>
      <w:r>
        <w:t xml:space="preserve">= .541) and DPL phase (H2:</w:t>
      </w:r>
      <w:r>
        <w:t xml:space="preserve"> </w:t>
      </w:r>
      <w:r>
        <w:rPr>
          <w:iCs/>
          <w:i/>
        </w:rPr>
        <w:t xml:space="preserve">Q</w:t>
      </w:r>
      <w:r>
        <w:t xml:space="preserve">_M = 0.56,</w:t>
      </w:r>
      <w:r>
        <w:t xml:space="preserve"> </w:t>
      </w:r>
      <w:r>
        <w:rPr>
          <w:iCs/>
          <w:i/>
        </w:rPr>
        <w:t xml:space="preserve">p</w:t>
      </w:r>
      <w:r>
        <w:t xml:space="preserve"> </w:t>
      </w:r>
      <w:r>
        <w:t xml:space="preserve">= .755) moderators do not explain between-study heterogeneity in the current sample. The CIMT institutional gradient (E1a/E1b), digital infrastructure amplification (H3), and DPL temporal moderation (H2) remain theoretically motivated but empirically unconfirmed at</w:t>
      </w:r>
      <w:r>
        <w:t xml:space="preserve"> </w:t>
      </w:r>
      <w:r>
        <w:rPr>
          <w:iCs/>
          <w:i/>
        </w:rPr>
        <w:t xml:space="preserve">k</w:t>
      </w:r>
      <w:r>
        <w:t xml:space="preserve"> </w:t>
      </w:r>
      <w:r>
        <w:t xml:space="preserve">= 238 — null results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58 missing studies, reducing the bias-corrected pooled effect to</w:t>
      </w:r>
      <w:r>
        <w:t xml:space="preserve"> </w:t>
      </w:r>
      <w:r>
        <w:rPr>
          <w:iCs/>
          <w:i/>
        </w:rPr>
        <w:t xml:space="preserve">r</w:t>
      </w:r>
      <w:r>
        <w:t xml:space="preserve"> </w:t>
      </w:r>
      <w:r>
        <w:t xml:space="preserve">= 0.035 (95% CI [0.023, 0.048]) —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w:r>
        <w:t xml:space="preserve">≈ 0.035 than the oft-cited figures in the 0.07–0.10 range. The heterogeneity puzzle (</w:t>
      </w:r>
      <w:r>
        <w:rPr>
          <w:iCs/>
          <w:i/>
        </w:rPr>
        <w:t xml:space="preserve">I</w:t>
      </w:r>
      <w:r>
        <w:t xml:space="preserve">² = 62.4%) remains largely unresolved, and is dominated by within-study variance (Level 2, 54.1%) rather than between-study differences (Level 3, 8.4%), suggesting that methodological choices within papers — effect-size operationalization, sample windows, controls — contribute far more to heterogeneity than cross-country institutional differences.</w:t>
      </w:r>
    </w:p>
    <w:p>
      <w:pPr>
        <w:pStyle w:val="BodyText"/>
      </w:pPr>
      <w:r>
        <w:rPr>
          <w:bCs/>
          <w:b/>
        </w:rPr>
        <w:t xml:space="preserve">Limitations.</w:t>
      </w:r>
      <w:r>
        <w:t xml:space="preserve"> </w:t>
      </w:r>
      <w:r>
        <w:t xml:space="preserve">Five inferential constraints bound these conclusions. First, while the omnibus ICRV test is significant, the directional gradient propositions (E1a/E1b) and the cDAI and DPL hypotheses are not confirmed in the current</w:t>
      </w:r>
      <w:r>
        <w:t xml:space="preserve"> </w:t>
      </w:r>
      <w:r>
        <w:rPr>
          <w:iCs/>
          <w:i/>
        </w:rPr>
        <w:t xml:space="preserve">k</w:t>
      </w:r>
      <w:r>
        <w:t xml:space="preserve"> </w:t>
      </w:r>
      <w:r>
        <w:t xml:space="preserve">= 238 working database; for the directional gradient this may reflect insufficient</w:t>
      </w:r>
      <w:r>
        <w:t xml:space="preserve"> </w:t>
      </w:r>
      <w:r>
        <w:rPr>
          <w:iCs/>
          <w:i/>
        </w:rPr>
        <w:t xml:space="preserve">k</w:t>
      </w:r>
      <w:r>
        <w:t xml:space="preserve"> </w:t>
      </w:r>
      <w:r>
        <w:t xml:space="preserve">in the diagnostic regime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rather than a genuine absence of any institutional gradient. A formal WoS/Scopus search targeting Frontier and SIDS contexts is required before the gradient null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including one outlier Pouresmaeili et al. 2018) yields an unreliable estimate and is the dominant driver of the significant omnibus</w:t>
      </w:r>
      <w:r>
        <w:t xml:space="preserve"> </w:t>
      </w:r>
      <w:r>
        <w:rPr>
          <w:iCs/>
          <w:i/>
        </w:rPr>
        <w:t xml:space="preserve">Q</w:t>
      </w:r>
      <w:r>
        <w:t xml:space="preserve">_M; future work should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 for instance, from vintage mismatch between the study's data period and the DAI score's reference year —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 with explicit power analysis for each regime cell and OSF pre-registration — would provide a definitive test of whether these moderators reach significance in a</w:t>
      </w:r>
      <w:r>
        <w:t xml:space="preserve"> </w:t>
      </w:r>
      <w:r>
        <w:rPr>
          <w:iCs/>
          <w:i/>
        </w:rPr>
        <w:t xml:space="preserve">k</w:t>
      </w:r>
      <w:r>
        <w:t xml:space="preserve"> </w:t>
      </w:r>
      <w:r>
        <w:t xml:space="preserve">≥ 400 corpus. Third, the substantial publication 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69"/>
    <w:bookmarkStart w:id="70"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70"/>
    <w:bookmarkStart w:id="71" w:name="competing-interests"/>
    <w:p>
      <w:pPr>
        <w:pStyle w:val="Heading2"/>
      </w:pPr>
      <w:r>
        <w:t xml:space="preserve">Competing Interests</w:t>
      </w:r>
    </w:p>
    <w:p>
      <w:pPr>
        <w:pStyle w:val="FirstParagraph"/>
      </w:pPr>
      <w:r>
        <w:t xml:space="preserve">The authors declare no conflict of interest.</w:t>
      </w:r>
    </w:p>
    <w:bookmarkEnd w:id="71"/>
    <w:bookmarkStart w:id="72"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2"/>
    <w:bookmarkStart w:id="76"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73">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74">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75">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6"/>
    <w:bookmarkStart w:id="77" w:name="appendix-a--prisma-2020-flow-diagram"/>
    <w:p>
      <w:pPr>
        <w:pStyle w:val="Heading2"/>
      </w:pPr>
      <w:r>
        <w:t xml:space="preserve">Appendix A — PRISMA 2020 Flow Diagram</w:t>
      </w:r>
    </w:p>
    <w:p>
      <w:pPr>
        <w:pStyle w:val="BlockText"/>
      </w:pPr>
      <w:r>
        <w:rPr>
          <w:bCs/>
          <w:b/>
        </w:rPr>
        <w:t xml:space="preserve">WoS + Scopus arms confirmed (20 May 2026). Final k/K pending full-text screening and extraction.</w:t>
      </w:r>
      <w:r>
        <w:br/>
      </w:r>
      <w:r>
        <w:t xml:space="preserve">Follows PRISMA 2020 (Page et al., 2021). Numbers marked ✓ are confirmed; [TBD] remain pending extraction.</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(full search, 20 May 2026):</w:t>
      </w:r>
      <w:r>
        <w:br/>
      </w:r>
      <w:r>
        <w:rPr>
          <w:rStyle w:val="VerbatimChar"/>
        </w:rPr>
        <w:t xml:space="preserve">  Web of Science Core Collection (SSCI+SCI-E+ESCI): n = 2,180 ✓</w:t>
      </w:r>
      <w:r>
        <w:br/>
      </w:r>
      <w:r>
        <w:rPr>
          <w:rStyle w:val="VerbatimChar"/>
        </w:rPr>
        <w:t xml:space="preserve">  Scopus (All Subject Areas, 1977–2026):             n = 1,083 ✓</w:t>
      </w:r>
      <w:r>
        <w:br/>
      </w:r>
      <w:r>
        <w:rPr>
          <w:rStyle w:val="VerbatimChar"/>
        </w:rPr>
        <w:t xml:space="preserve">  ─────────────────────────────────────────────────────</w:t>
      </w:r>
      <w:r>
        <w:br/>
      </w:r>
      <w:r>
        <w:rPr>
          <w:rStyle w:val="VerbatimChar"/>
        </w:rPr>
        <w:t xml:space="preserve">  Total from databases:                              n = 3,263 ✓</w:t>
      </w:r>
      <w:r>
        <w:br/>
      </w:r>
      <w:r>
        <w:br/>
      </w:r>
      <w:r>
        <w:rPr>
          <w:rStyle w:val="VerbatimChar"/>
        </w:rPr>
        <w:t xml:space="preserve">After cross-database deduplication (DOI-exact + title-fuzzy ≥85%):</w:t>
      </w:r>
      <w:r>
        <w:br/>
      </w:r>
      <w:r>
        <w:rPr>
          <w:rStyle w:val="VerbatimChar"/>
        </w:rPr>
        <w:t xml:space="preserve">  Duplicate records removed:                         n =   795  ✓</w:t>
      </w:r>
      <w:r>
        <w:br/>
      </w:r>
      <w:r>
        <w:rPr>
          <w:rStyle w:val="VerbatimChar"/>
        </w:rPr>
        <w:t xml:space="preserve">  Unique records:                                    n = 2,468  ✓</w:t>
      </w:r>
      <w:r>
        <w:br/>
      </w:r>
      <w:r>
        <w:rPr>
          <w:rStyle w:val="VerbatimChar"/>
        </w:rPr>
        <w:t xml:space="preserve">  Already in existing tracker (prior database):      n =   435  ✓</w:t>
      </w:r>
      <w:r>
        <w:br/>
      </w:r>
      <w:r>
        <w:rPr>
          <w:rStyle w:val="VerbatimChar"/>
        </w:rPr>
        <w:t xml:space="preserve">  New candidates for L2 screening:                   n = 2,032  ✓</w:t>
      </w:r>
      <w:r>
        <w:br/>
      </w:r>
      <w:r>
        <w:rPr>
          <w:rStyle w:val="VerbatimChar"/>
        </w:rPr>
        <w:t xml:space="preserve">    — with DOI (CrossRef enriched, 20 May 2026):     n = 1,512 (74.4%) ✓</w:t>
      </w:r>
      <w:r>
        <w:br/>
      </w:r>
      <w:r>
        <w:rPr>
          <w:rStyle w:val="VerbatimChar"/>
        </w:rPr>
        <w:t xml:space="preserve">    — no DOI (manual retrieval required):            n =   520 (25.6%) ✓</w:t>
      </w:r>
      <w:r>
        <w:br/>
      </w:r>
      <w:r>
        <w:br/>
      </w:r>
      <w:r>
        <w:rPr>
          <w:rStyle w:val="VerbatimChar"/>
        </w:rPr>
        <w:t xml:space="preserve">Records from supplementary methods:</w:t>
      </w:r>
      <w:r>
        <w:br/>
      </w:r>
      <w:r>
        <w:rPr>
          <w:rStyle w:val="VerbatimChar"/>
        </w:rPr>
        <w:t xml:space="preserve">  Backward citation scan (5 anchor meta-analyses):  n ≈ 478 screened</w:t>
      </w:r>
      <w:r>
        <w:br/>
      </w:r>
      <w:r>
        <w:rPr>
          <w:rStyle w:val="VerbatimChar"/>
        </w:rPr>
        <w:t xml:space="preserve">  Hand-search (author corpus, 2024–2026):           n = 19</w:t>
      </w:r>
      <w:r>
        <w:br/>
      </w:r>
      <w:r>
        <w:rPr>
          <w:rStyle w:val="VerbatimChar"/>
        </w:rPr>
        <w:t xml:space="preserve">  ─────────────────────────────────────────────────────</w:t>
      </w:r>
      <w:r>
        <w:br/>
      </w:r>
      <w:r>
        <w:rPr>
          <w:rStyle w:val="VerbatimChar"/>
        </w:rPr>
        <w:t xml:space="preserve">  Total records identified:                         N = 3,263 (databases) + ≈497 (supplementary) ✓</w:t>
      </w:r>
      <w:r>
        <w:br/>
      </w:r>
      <w:r>
        <w:br/>
      </w:r>
      <w:r>
        <w:rPr>
          <w:rStyle w:val="VerbatimChar"/>
        </w:rPr>
        <w:t xml:space="preserve">SCREENING — Level 1 (Title / Keyword Pre-screen)</w:t>
      </w:r>
      <w:r>
        <w:br/>
      </w:r>
      <w:r>
        <w:rPr>
          <w:rStyle w:val="VerbatimChar"/>
        </w:rPr>
        <w:t xml:space="preserve">─────────────────────────────────────────────────────────────────</w:t>
      </w:r>
      <w:r>
        <w:br/>
      </w:r>
      <w:r>
        <w:rPr>
          <w:rStyle w:val="VerbatimChar"/>
        </w:rPr>
        <w:t xml:space="preserve">After within-WoS deduplication:                      n = 2,179  (1 duplicate removed)</w:t>
      </w:r>
      <w:r>
        <w:br/>
      </w:r>
      <w:r>
        <w:rPr>
          <w:rStyle w:val="VerbatimChar"/>
        </w:rPr>
        <w:t xml:space="preserve">  Excluded at L1 (title clearly outside I→P domain): n = 1,397</w:t>
      </w:r>
      <w:r>
        <w:br/>
      </w:r>
      <w:r>
        <w:rPr>
          <w:rStyle w:val="VerbatimChar"/>
        </w:rPr>
        <w:t xml:space="preserve">    - No internationalization × performance signal  : n ≈ 1,200</w:t>
      </w:r>
      <w:r>
        <w:br/>
      </w:r>
      <w:r>
        <w:rPr>
          <w:rStyle w:val="VerbatimChar"/>
        </w:rPr>
        <w:t xml:space="preserve">    - Systematic reviews / meta-analyses            : n ≈   97</w:t>
      </w:r>
      <w:r>
        <w:br/>
      </w:r>
      <w:r>
        <w:rPr>
          <w:rStyle w:val="VerbatimChar"/>
        </w:rPr>
        <w:t xml:space="preserve">    - Qualitative / conceptual / medical            : n ≈  100</w:t>
      </w:r>
      <w:r>
        <w:br/>
      </w:r>
      <w:r>
        <w:rPr>
          <w:rStyle w:val="VerbatimChar"/>
        </w:rPr>
        <w:t xml:space="preserve">  Retained for Level-2 title screen:                 n =   782  ✓</w:t>
      </w:r>
      <w:r>
        <w:br/>
      </w:r>
      <w:r>
        <w:br/>
      </w:r>
      <w:r>
        <w:rPr>
          <w:rStyle w:val="VerbatimChar"/>
        </w:rPr>
        <w:t xml:space="preserve">SCREENING — Level 2 (Title Screen + UNSURE Resolution)</w:t>
      </w:r>
      <w:r>
        <w:br/>
      </w:r>
      <w:r>
        <w:rPr>
          <w:rStyle w:val="VerbatimChar"/>
        </w:rPr>
        <w:t xml:space="preserve">─────────────────────────────────────────────────────────────────</w:t>
      </w:r>
      <w:r>
        <w:br/>
      </w:r>
      <w:r>
        <w:rPr>
          <w:rStyle w:val="VerbatimChar"/>
        </w:rPr>
        <w:t xml:space="preserve">Records screened at L2 (title):                      n =   782</w:t>
      </w:r>
      <w:r>
        <w:br/>
      </w:r>
      <w:r>
        <w:rPr>
          <w:rStyle w:val="VerbatimChar"/>
        </w:rPr>
        <w:t xml:space="preserve">  Initial decisions (18 May 2026):</w:t>
      </w:r>
      <w:r>
        <w:br/>
      </w:r>
      <w:r>
        <w:rPr>
          <w:rStyle w:val="VerbatimChar"/>
        </w:rPr>
        <w:t xml:space="preserve">    Y (clearly eligible):                            n =   345</w:t>
      </w:r>
      <w:r>
        <w:br/>
      </w:r>
      <w:r>
        <w:rPr>
          <w:rStyle w:val="VerbatimChar"/>
        </w:rPr>
        <w:t xml:space="preserve">    N (clearly excluded):                            n =    35</w:t>
      </w:r>
      <w:r>
        <w:br/>
      </w:r>
      <w:r>
        <w:rPr>
          <w:rStyle w:val="VerbatimChar"/>
        </w:rPr>
        <w:t xml:space="preserve">      E1: Conceptual / editorial                     n =     4</w:t>
      </w:r>
      <w:r>
        <w:br/>
      </w:r>
      <w:r>
        <w:rPr>
          <w:rStyle w:val="VerbatimChar"/>
        </w:rPr>
        <w:t xml:space="preserve">      E2: Qualitative / case study                   n =     8</w:t>
      </w:r>
      <w:r>
        <w:br/>
      </w:r>
      <w:r>
        <w:rPr>
          <w:rStyle w:val="VerbatimChar"/>
        </w:rPr>
        <w:t xml:space="preserve">      E3: Macro-level / country-level analysis       n =     6</w:t>
      </w:r>
      <w:r>
        <w:br/>
      </w:r>
      <w:r>
        <w:rPr>
          <w:rStyle w:val="VerbatimChar"/>
        </w:rPr>
        <w:t xml:space="preserve">      E5: Export as DV (not IV→performance)          n =    17</w:t>
      </w:r>
      <w:r>
        <w:br/>
      </w:r>
      <w:r>
        <w:rPr>
          <w:rStyle w:val="VerbatimChar"/>
        </w:rPr>
        <w:t xml:space="preserve">    UNSURE (title insufficient):                     n =   402</w:t>
      </w:r>
      <w:r>
        <w:br/>
      </w:r>
      <w:r>
        <w:br/>
      </w:r>
      <w:r>
        <w:rPr>
          <w:rStyle w:val="VerbatimChar"/>
        </w:rPr>
        <w:t xml:space="preserve">  UNSURE title-only re-screen — Round 1 (script 14):</w:t>
      </w:r>
      <w:r>
        <w:br/>
      </w:r>
      <w:r>
        <w:rPr>
          <w:rStyle w:val="VerbatimChar"/>
        </w:rPr>
        <w:t xml:space="preserve">    Resolved Y:                                      n =   135</w:t>
      </w:r>
      <w:r>
        <w:br/>
      </w:r>
      <w:r>
        <w:rPr>
          <w:rStyle w:val="VerbatimChar"/>
        </w:rPr>
        <w:t xml:space="preserve">      Genuinely new (not in existing k=287):         n =   129  ✓</w:t>
      </w:r>
      <w:r>
        <w:br/>
      </w:r>
      <w:r>
        <w:rPr>
          <w:rStyle w:val="VerbatimChar"/>
        </w:rPr>
        <w:t xml:space="preserve">      Duplicates of existing database:               n =     6  → excluded</w:t>
      </w:r>
      <w:r>
        <w:br/>
      </w:r>
      <w:r>
        <w:rPr>
          <w:rStyle w:val="VerbatimChar"/>
        </w:rPr>
        <w:t xml:space="preserve">    Resolved N:                                      n =     3</w:t>
      </w:r>
      <w:r>
        <w:br/>
      </w:r>
      <w:r>
        <w:rPr>
          <w:rStyle w:val="VerbatimChar"/>
        </w:rPr>
        <w:t xml:space="preserve">    Still UNSURE after R1:                           n =   263</w:t>
      </w:r>
      <w:r>
        <w:br/>
      </w:r>
      <w:r>
        <w:br/>
      </w:r>
      <w:r>
        <w:rPr>
          <w:rStyle w:val="VerbatimChar"/>
        </w:rPr>
        <w:t xml:space="preserve">  UNSURE title-only re-screen — Round 2 (script 18, two-tier rules):</w:t>
      </w:r>
      <w:r>
        <w:br/>
      </w:r>
      <w:r>
        <w:rPr>
          <w:rStyle w:val="VerbatimChar"/>
        </w:rPr>
        <w:t xml:space="preserve">    Resolved Y (all genuinely new):                  n =    30  ✓</w:t>
      </w:r>
      <w:r>
        <w:br/>
      </w:r>
      <w:r>
        <w:rPr>
          <w:rStyle w:val="VerbatimChar"/>
        </w:rPr>
        <w:t xml:space="preserve">    Resolved N:                                      n =    29</w:t>
      </w:r>
      <w:r>
        <w:br/>
      </w:r>
      <w:r>
        <w:rPr>
          <w:rStyle w:val="VerbatimChar"/>
        </w:rPr>
        <w:t xml:space="preserve">    Still UNSURE after R2:                           n =   204</w:t>
      </w:r>
      <w:r>
        <w:br/>
      </w:r>
      <w:r>
        <w:br/>
      </w:r>
      <w:r>
        <w:rPr>
          <w:rStyle w:val="VerbatimChar"/>
        </w:rPr>
        <w:t xml:space="preserve">  UNSURE title-only re-screen — Round 3 (script 20, extended patterns):</w:t>
      </w:r>
      <w:r>
        <w:br/>
      </w:r>
      <w:r>
        <w:rPr>
          <w:rStyle w:val="VerbatimChar"/>
        </w:rPr>
        <w:t xml:space="preserve">    Resolved Y (all genuinely new):                  n =    25  ✓</w:t>
      </w:r>
      <w:r>
        <w:br/>
      </w:r>
      <w:r>
        <w:rPr>
          <w:rStyle w:val="VerbatimChar"/>
        </w:rPr>
        <w:t xml:space="preserve">    Resolved N:                                      n =    43</w:t>
      </w:r>
      <w:r>
        <w:br/>
      </w:r>
      <w:r>
        <w:rPr>
          <w:rStyle w:val="VerbatimChar"/>
        </w:rPr>
        <w:t xml:space="preserve">    Still UNSURE after R3:                           n =   136</w:t>
      </w:r>
      <w:r>
        <w:br/>
      </w:r>
      <w:r>
        <w:br/>
      </w:r>
      <w:r>
        <w:rPr>
          <w:rStyle w:val="VerbatimChar"/>
        </w:rPr>
        <w:t xml:space="preserve">  UNSURE title-only re-screen — Round 4 (script 22, capital structure / location</w:t>
      </w:r>
      <w:r>
        <w:br/>
      </w:r>
      <w:r>
        <w:rPr>
          <w:rStyle w:val="VerbatimChar"/>
        </w:rPr>
        <w:t xml:space="preserve">      strategy / antecedent/determinant exclusions; performance consequences /</w:t>
      </w:r>
      <w:r>
        <w:br/>
      </w:r>
      <w:r>
        <w:rPr>
          <w:rStyle w:val="VerbatimChar"/>
        </w:rPr>
        <w:t xml:space="preserve">      optimal multinationality / crisis resilience inclusions):</w:t>
      </w:r>
      <w:r>
        <w:br/>
      </w:r>
      <w:r>
        <w:rPr>
          <w:rStyle w:val="VerbatimChar"/>
        </w:rPr>
        <w:t xml:space="preserve">    Resolved Y (all genuinely new):                  n =    15  ✓</w:t>
      </w:r>
      <w:r>
        <w:br/>
      </w:r>
      <w:r>
        <w:rPr>
          <w:rStyle w:val="VerbatimChar"/>
        </w:rPr>
        <w:t xml:space="preserve">    Resolved N:                                      n =    34</w:t>
      </w:r>
      <w:r>
        <w:br/>
      </w:r>
      <w:r>
        <w:rPr>
          <w:rStyle w:val="VerbatimChar"/>
        </w:rPr>
        <w:t xml:space="preserve">    Still UNSURE:                                    n =    87</w:t>
      </w:r>
      <w:r>
        <w:br/>
      </w:r>
      <w:r>
        <w:br/>
      </w:r>
      <w:r>
        <w:rPr>
          <w:rStyle w:val="VerbatimChar"/>
        </w:rPr>
        <w:t xml:space="preserve">  UNSURE title-only re-screen — Round 5 (first-author manual pass, 19/05/2026):</w:t>
      </w:r>
      <w:r>
        <w:br/>
      </w:r>
      <w:r>
        <w:rPr>
          <w:rStyle w:val="VerbatimChar"/>
        </w:rPr>
        <w:t xml:space="preserve">    Resolved Y (all genuinely new):                  n =     4  ✓</w:t>
      </w:r>
      <w:r>
        <w:br/>
      </w:r>
      <w:r>
        <w:rPr>
          <w:rStyle w:val="VerbatimChar"/>
        </w:rPr>
        <w:t xml:space="preserve">    Resolved N:                                      n =    11</w:t>
      </w:r>
      <w:r>
        <w:br/>
      </w:r>
      <w:r>
        <w:rPr>
          <w:rStyle w:val="VerbatimChar"/>
        </w:rPr>
        <w:t xml:space="preserve">    Still UNSURE:                                    n =    72</w:t>
      </w:r>
      <w:r>
        <w:br/>
      </w:r>
      <w:r>
        <w:br/>
      </w:r>
      <w:r>
        <w:rPr>
          <w:rStyle w:val="VerbatimChar"/>
        </w:rPr>
        <w:t xml:space="preserve">  UNSURE title-only re-screen — Round 6 (first-author manual pass, 19/05/2026):</w:t>
      </w:r>
      <w:r>
        <w:br/>
      </w:r>
      <w:r>
        <w:rPr>
          <w:rStyle w:val="VerbatimChar"/>
        </w:rPr>
        <w:t xml:space="preserve">    Resolved Y (all genuinely new):                  n =     8  ✓</w:t>
      </w:r>
      <w:r>
        <w:br/>
      </w:r>
      <w:r>
        <w:rPr>
          <w:rStyle w:val="VerbatimChar"/>
        </w:rPr>
        <w:t xml:space="preserve">    Resolved N:                                      n =    46</w:t>
      </w:r>
      <w:r>
        <w:br/>
      </w:r>
      <w:r>
        <w:rPr>
          <w:rStyle w:val="VerbatimChar"/>
        </w:rPr>
        <w:t xml:space="preserve">    Still UNSURE:                                    n =    18</w:t>
      </w:r>
      <w:r>
        <w:br/>
      </w:r>
      <w:r>
        <w:br/>
      </w:r>
      <w:r>
        <w:rPr>
          <w:rStyle w:val="VerbatimChar"/>
        </w:rPr>
        <w:t xml:space="preserve">  UNSURE title-only re-screen — Round 7 (manual signals: book-chapter DOI,</w:t>
      </w:r>
      <w:r>
        <w:br/>
      </w:r>
      <w:r>
        <w:rPr>
          <w:rStyle w:val="VerbatimChar"/>
        </w:rPr>
        <w:t xml:space="preserve">      single-case, antecedent-DV, non-business journal, macro unit):</w:t>
      </w:r>
      <w:r>
        <w:br/>
      </w:r>
      <w:r>
        <w:rPr>
          <w:rStyle w:val="VerbatimChar"/>
        </w:rPr>
        <w:t xml:space="preserve">    Resolved Y:                                      n =     0</w:t>
      </w:r>
      <w:r>
        <w:br/>
      </w:r>
      <w:r>
        <w:rPr>
          <w:rStyle w:val="VerbatimChar"/>
        </w:rPr>
        <w:t xml:space="preserve">    Resolved N:                                      n =     8</w:t>
      </w:r>
      <w:r>
        <w:br/>
      </w:r>
      <w:r>
        <w:rPr>
          <w:rStyle w:val="VerbatimChar"/>
        </w:rPr>
        <w:t xml:space="preserve">    Still UNSURE:                                    n =    10</w:t>
      </w:r>
      <w:r>
        <w:br/>
      </w:r>
      <w:r>
        <w:br/>
      </w:r>
      <w:r>
        <w:rPr>
          <w:rStyle w:val="VerbatimChar"/>
        </w:rPr>
        <w:t xml:space="preserve">  UNSURE WebSearch abstract pass — Round 8 (19/05/2026, I→P eligibility</w:t>
      </w:r>
      <w:r>
        <w:br/>
      </w:r>
      <w:r>
        <w:rPr>
          <w:rStyle w:val="VerbatimChar"/>
        </w:rPr>
        <w:t xml:space="preserve">      criteria applied via web-sourced abstracts for all 10 remaining):</w:t>
      </w:r>
      <w:r>
        <w:br/>
      </w:r>
      <w:r>
        <w:rPr>
          <w:rStyle w:val="VerbatimChar"/>
        </w:rPr>
        <w:t xml:space="preserve">    Resolved Y (S0129, S0240, S0683):                n =     3</w:t>
      </w:r>
      <w:r>
        <w:br/>
      </w:r>
      <w:r>
        <w:rPr>
          <w:rStyle w:val="VerbatimChar"/>
        </w:rPr>
        <w:t xml:space="preserve">    Resolved N (wrong I measure/DV/focal unit):      n =     7</w:t>
      </w:r>
      <w:r>
        <w:br/>
      </w:r>
      <w:r>
        <w:rPr>
          <w:rStyle w:val="VerbatimChar"/>
        </w:rPr>
        <w:t xml:space="preserve">    Still UNSURE:                                    n =     0  ← ALL RESOLVED ✓</w:t>
      </w:r>
      <w:r>
        <w:br/>
      </w:r>
      <w:r>
        <w:br/>
      </w:r>
      <w:r>
        <w:rPr>
          <w:rStyle w:val="VerbatimChar"/>
        </w:rPr>
        <w:t xml:space="preserve">  Total L2 Y (WoS arm):                             n =   565  ✓</w:t>
      </w:r>
      <w:r>
        <w:br/>
      </w:r>
      <w:r>
        <w:rPr>
          <w:rStyle w:val="VerbatimChar"/>
        </w:rPr>
        <w:t xml:space="preserve">    (= 345 L2 Y + 135 R1 + 30 R2 + 25 R3 + 15 R4 + 4 R5 + 8 R6 + 0 R7 + 3 R8)</w:t>
      </w:r>
      <w:r>
        <w:br/>
      </w:r>
      <w:r>
        <w:br/>
      </w:r>
      <w:r>
        <w:rPr>
          <w:rStyle w:val="VerbatimChar"/>
        </w:rPr>
        <w:t xml:space="preserve">  Extraction pre-screen — Round 9 (worklist v11→v12, 19/05/2026,</w:t>
      </w:r>
      <w:r>
        <w:br/>
      </w:r>
      <w:r>
        <w:rPr>
          <w:rStyle w:val="VerbatimChar"/>
        </w:rPr>
        <w:t xml:space="preserve">      title-pattern analysis for 92 unresolved prescreen flags):</w:t>
      </w:r>
      <w:r>
        <w:br/>
      </w:r>
      <w:r>
        <w:rPr>
          <w:rStyle w:val="VerbatimChar"/>
        </w:rPr>
        <w:t xml:space="preserve">    Y (include for extraction):                       n =    41  ✓</w:t>
      </w:r>
      <w:r>
        <w:br/>
      </w:r>
      <w:r>
        <w:rPr>
          <w:rStyle w:val="VerbatimChar"/>
        </w:rPr>
        <w:t xml:space="preserve">    N (exclude from extraction priority):             n =    51</w:t>
      </w:r>
      <w:r>
        <w:br/>
      </w:r>
      <w:r>
        <w:rPr>
          <w:rStyle w:val="VerbatimChar"/>
        </w:rPr>
        <w:t xml:space="preserve">    Still UNSURE:                                     n =     0  ← ALL RESOLVED ✓</w:t>
      </w:r>
      <w:r>
        <w:br/>
      </w:r>
      <w:r>
        <w:rPr>
          <w:rStyle w:val="VerbatimChar"/>
        </w:rPr>
        <w:t xml:space="preserve">  Extraction pool prescreen: Y=435 (81.3%), N=100 (18.7%), UNSURE=0</w:t>
      </w:r>
      <w:r>
        <w:br/>
      </w:r>
      <w:r>
        <w:br/>
      </w:r>
      <w:r>
        <w:rPr>
          <w:rStyle w:val="VerbatimChar"/>
        </w:rPr>
        <w:t xml:space="preserve">ELIGIBILITY — Deduplication vs. Prior Database</w:t>
      </w:r>
      <w:r>
        <w:br/>
      </w:r>
      <w:r>
        <w:rPr>
          <w:rStyle w:val="VerbatimChar"/>
        </w:rPr>
        <w:t xml:space="preserve">─────────────────────────────────────────────────────────────────</w:t>
      </w:r>
      <w:r>
        <w:br/>
      </w:r>
      <w:r>
        <w:rPr>
          <w:rStyle w:val="VerbatimChar"/>
        </w:rPr>
        <w:t xml:space="preserve">Deduplicated against existing k=287 coded studies:</w:t>
      </w:r>
      <w:r>
        <w:br/>
      </w:r>
      <w:r>
        <w:rPr>
          <w:rStyle w:val="VerbatimChar"/>
        </w:rPr>
        <w:t xml:space="preserve">  Confirmed genuinely new (R1):                      n =   321  ✓</w:t>
      </w:r>
      <w:r>
        <w:br/>
      </w:r>
      <w:r>
        <w:rPr>
          <w:rStyle w:val="VerbatimChar"/>
        </w:rPr>
        <w:t xml:space="preserve">  Confirmed new (R1-R8):                             n =   214  (129+30+25+15+4+8+0+3)</w:t>
      </w:r>
      <w:r>
        <w:br/>
      </w:r>
      <w:r>
        <w:rPr>
          <w:rStyle w:val="VerbatimChar"/>
        </w:rPr>
        <w:t xml:space="preserve">  Active extraction pool (worklist v12):             n =   535  ✓</w:t>
      </w:r>
      <w:r>
        <w:br/>
      </w:r>
      <w:r>
        <w:rPr>
          <w:rStyle w:val="VerbatimChar"/>
        </w:rPr>
        <w:t xml:space="preserve">  Priority extraction candidates (prescreen Y):      n =   435  (310 with DOI; 125 no-DOI)</w:t>
      </w:r>
      <w:r>
        <w:br/>
      </w:r>
      <w:r>
        <w:rPr>
          <w:rStyle w:val="VerbatimChar"/>
        </w:rPr>
        <w:t xml:space="preserve">  Full-text excluded (reasons pending extraction):   n = [TBD]</w:t>
      </w:r>
      <w:r>
        <w:br/>
      </w:r>
      <w:r>
        <w:rPr>
          <w:rStyle w:val="VerbatimChar"/>
        </w:rPr>
        <w:t xml:space="preserve">    - No calculable r or convertible statistic</w:t>
      </w:r>
      <w:r>
        <w:br/>
      </w:r>
      <w:r>
        <w:rPr>
          <w:rStyle w:val="VerbatimChar"/>
        </w:rPr>
        <w:t xml:space="preserve">    - Unit of analysis not firm-level</w:t>
      </w:r>
      <w:r>
        <w:br/>
      </w:r>
      <w:r>
        <w:rPr>
          <w:rStyle w:val="VerbatimChar"/>
        </w:rPr>
        <w:t xml:space="preserve">    - Conference paper / thesis / working paper</w:t>
      </w:r>
      <w:r>
        <w:br/>
      </w:r>
      <w:r>
        <w:rPr>
          <w:rStyle w:val="VerbatimChar"/>
        </w:rPr>
        <w:t xml:space="preserve">    - Duplicate sample</w:t>
      </w:r>
      <w:r>
        <w:br/>
      </w:r>
      <w:r>
        <w:br/>
      </w:r>
      <w:r>
        <w:rPr>
          <w:rStyle w:val="VerbatimChar"/>
        </w:rPr>
        <w:t xml:space="preserve">NEW CANDIDATES (20 May 2026 full search, pending L2 screening):</w:t>
      </w:r>
      <w:r>
        <w:br/>
      </w:r>
      <w:r>
        <w:rPr>
          <w:rStyle w:val="VerbatimChar"/>
        </w:rPr>
        <w:t xml:space="preserve">─────────────────────────────────────────────────────────────────</w:t>
      </w:r>
      <w:r>
        <w:br/>
      </w:r>
      <w:r>
        <w:rPr>
          <w:rStyle w:val="VerbatimChar"/>
        </w:rPr>
        <w:t xml:space="preserve">  New candidates added to tracker v3:               n = 2,032  ✓</w:t>
      </w:r>
      <w:r>
        <w:br/>
      </w:r>
      <w:r>
        <w:rPr>
          <w:rStyle w:val="VerbatimChar"/>
        </w:rPr>
        <w:t xml:space="preserve">    1_DOI_FIRST (CrossRef DOI recovered):            n = 1,512  ✓</w:t>
      </w:r>
      <w:r>
        <w:br/>
      </w:r>
      <w:r>
        <w:rPr>
          <w:rStyle w:val="VerbatimChar"/>
        </w:rPr>
        <w:t xml:space="preserve">    2_NO_DOI_MANUAL (title/GS search required):      n =   520  ✓</w:t>
      </w:r>
      <w:r>
        <w:br/>
      </w:r>
      <w:r>
        <w:rPr>
          <w:rStyle w:val="VerbatimChar"/>
        </w:rPr>
        <w:t xml:space="preserve">  Working file:  fulltext_to_extraction_tracker_v3.csv</w:t>
      </w:r>
      <w:r>
        <w:br/>
      </w:r>
      <w:r>
        <w:rPr>
          <w:rStyle w:val="VerbatimChar"/>
        </w:rPr>
        <w:t xml:space="preserve">                 (2,467 rows = 435 prior + 2,032 new; 58 cols)</w:t>
      </w:r>
      <w:r>
        <w:br/>
      </w:r>
      <w:r>
        <w:rPr>
          <w:rStyle w:val="VerbatimChar"/>
        </w:rPr>
        <w:t xml:space="preserve">  Status: L2 full-text screening pending (OSF pre-registration confirmed)</w:t>
      </w:r>
      <w:r>
        <w:br/>
      </w:r>
      <w:r>
        <w:br/>
      </w:r>
      <w:r>
        <w:rPr>
          <w:rStyle w:val="VerbatimChar"/>
        </w:rPr>
        <w:t xml:space="preserve">INCLUDED</w:t>
      </w:r>
      <w:r>
        <w:br/>
      </w:r>
      <w:r>
        <w:rPr>
          <w:rStyle w:val="VerbatimChar"/>
        </w:rPr>
        <w:t xml:space="preserve">─────────────────────────────────────────────────────────────────</w:t>
      </w:r>
      <w:r>
        <w:br/>
      </w:r>
      <w:r>
        <w:rPr>
          <w:rStyle w:val="VerbatimChar"/>
        </w:rPr>
        <w:t xml:space="preserve">Studies included in meta-analysis:   k = 238 (prior DB: k = 238; updated 23/05/2026)</w:t>
      </w:r>
      <w:r>
        <w:br/>
      </w:r>
      <w:r>
        <w:rPr>
          <w:rStyle w:val="VerbatimChar"/>
        </w:rPr>
        <w:t xml:space="preserve">Effect sizes coded:                  K = 288 (prior DB: K = 288; updated 23/05/2026)</w:t>
      </w:r>
      <w:r>
        <w:br/>
      </w:r>
      <w:r>
        <w:br/>
      </w:r>
      <w:r>
        <w:rPr>
          <w:rStyle w:val="VerbatimChar"/>
        </w:rPr>
        <w:t xml:space="preserve">Note: k=238 / K=288 reflects the existing coded database (p6_study_database_v2.csv).</w:t>
      </w:r>
      <w:r>
        <w:br/>
      </w:r>
      <w:r>
        <w:rPr>
          <w:rStyle w:val="VerbatimChar"/>
        </w:rPr>
        <w:t xml:space="preserve">Final k/K will increase further as new L2 extraction from 2,032 new candidates</w:t>
      </w:r>
      <w:r>
        <w:br/>
      </w:r>
      <w:r>
        <w:rPr>
          <w:rStyle w:val="VerbatimChar"/>
        </w:rPr>
        <w:t xml:space="preserve">(fulltext_to_extraction_tracker_v3.csv) is completed.</w:t>
      </w:r>
    </w:p>
    <w:p>
      <w:pPr>
        <w:pStyle w:val="FirstParagraph"/>
      </w:pPr>
      <w:r>
        <w:rPr>
          <w:iCs/>
          <w:i/>
        </w:rPr>
        <w:t xml:space="preserve">The PRISMA checklist (Page et al., 2021) is available from the corresponding author.</w:t>
      </w:r>
    </w:p>
    <w:p>
      <w:r>
        <w:pict>
          <v:rect style="width:0;height:1.5pt" o:hralign="center" o:hrstd="t" o:hr="t"/>
        </w:pict>
      </w:r>
    </w:p>
    <w:bookmarkEnd w:id="77"/>
    <w:bookmarkStart w:id="78" w:name="appendix-b--coding-protocol-7-moderators"/>
    <w:p>
      <w:pPr>
        <w:pStyle w:val="Heading2"/>
      </w:pPr>
      <w:r>
        <w:t xml:space="preserve">Appendix B —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8"/>
    <w:bookmarkStart w:id="79" w:name="X268400b3423c0b4852b72f307f2ef855f61e7ea"/>
    <w:p>
      <w:pPr>
        <w:pStyle w:val="Heading2"/>
      </w:pPr>
      <w:r>
        <w:t xml:space="preserve">Appendix C —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 within-study</w:t>
            </w:r>
          </w:p>
        </w:tc>
        <w:tc>
          <w:tcPr/>
          <w:p>
            <w:pPr>
              <w:pStyle w:val="Compact"/>
              <w:jc w:val="left"/>
            </w:pPr>
            <w:r>
              <w:t xml:space="preserve">—</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w:t>
            </w:r>
          </w:p>
        </w:tc>
        <w:tc>
          <w:tcPr/>
          <w:p>
            <w:pPr>
              <w:pStyle w:val="Compact"/>
              <w:jc w:val="left"/>
            </w:pPr>
            <w:r>
              <w:t xml:space="preserve">0.00135</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(62.4% vs. 87.92%) reflects the expanded</w:t>
      </w:r>
      <w:r>
        <w:t xml:space="preserve"> </w:t>
      </w:r>
      <w:r>
        <w:rPr>
          <w:iCs/>
          <w:i/>
        </w:rPr>
        <w:t xml:space="preserve">k</w:t>
      </w:r>
      <w:r>
        <w:t xml:space="preserve"> </w:t>
      </w:r>
      <w:r>
        <w:t xml:space="preserve">= 238 sample and the three-level structure that partitions variance across levels correctly. The narrower 95% CI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§3–§4 expansion with confirmed metafor output once formal effect-size extraction from p6_study_database_coded.md is complete using the standardized coding protocol (Appendix B).</w:t>
      </w:r>
    </w:p>
    <w:bookmarkEnd w:id="79"/>
    <w:bookmarkEnd w:id="8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27" Target="media/rId27.png" /><Relationship Type="http://schemas.openxmlformats.org/officeDocument/2006/relationships/hyperlink" Id="rId74" Target="https://doi.org/10.1136/bmj.n71" TargetMode="External" /><Relationship Type="http://schemas.openxmlformats.org/officeDocument/2006/relationships/hyperlink" Id="rId73" Target="https://doi.org/10.5772/intechopen.1011012" TargetMode="External" /><Relationship Type="http://schemas.openxmlformats.org/officeDocument/2006/relationships/hyperlink" Id="rId75"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4" Target="https://doi.org/10.1136/bmj.n71" TargetMode="External" /><Relationship Type="http://schemas.openxmlformats.org/officeDocument/2006/relationships/hyperlink" Id="rId73" Target="https://doi.org/10.5772/intechopen.1011012" TargetMode="External" /><Relationship Type="http://schemas.openxmlformats.org/officeDocument/2006/relationships/hyperlink" Id="rId75"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2026-05-25T01:39:58Z</dcterms:created>
  <dcterms:modified xsi:type="dcterms:W3CDTF">2026-05-25T01:39:58Z</dcterms:modified>
</cp:coreProperties>
</file>

<file path=docProps/custom.xml><?xml version="1.0" encoding="utf-8"?>
<Properties xmlns="http://schemas.openxmlformats.org/officeDocument/2006/custom-properties" xmlns:vt="http://schemas.openxmlformats.org/officeDocument/2006/docPropsVTypes"/>
</file>