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quốc tế hóa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quốc tế hóa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quốc tế hóa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quốc tế hóa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hoạt động kinh doanh);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quốc tế hóa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ngưỡng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quốc tế hóa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quốc tế hóa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34b96521b396674882866386622dca78e68f4a8"/>
    <w:p>
      <w:pPr>
        <w:pStyle w:val="Heading3"/>
      </w:pPr>
      <w:r>
        <w:t xml:space="preserve">2.1 Quốc tế hóa và hiệu quả hoạt động kinh doanh</w:t>
      </w:r>
    </w:p>
    <w:p>
      <w:pPr>
        <w:pStyle w:val="FirstParagraph"/>
      </w:pPr>
      <w:r>
        <w:t xml:space="preserve">Mối quan hệ giữa quốc tế hóa và hiệu quả hoạt động kinh doanh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quốc tế hóa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quốc tế hóa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quốc tế hóa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quốc tế hóa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quốc tế hóa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4149dbdbad3a65df6ee104e81dec78d5866e43e"/>
    <w:p>
      <w:pPr>
        <w:pStyle w:val="Heading3"/>
      </w:pPr>
      <w:r>
        <w:t xml:space="preserve">2.2 Năng lực công nghệ và tiêu chuẩn nước ngoài và hiệu quả hoạt động kinh doanh</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hoạt động kinh doanh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1bbf31ae5e579bc06ca51c268598ce5241cfbb5"/>
    <w:p>
      <w:pPr>
        <w:pStyle w:val="Heading3"/>
      </w:pPr>
      <w:r>
        <w:t xml:space="preserve">2.3 Hiện diện số dựa trên website và hiệu quả hoạt động kinh doanh</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quốc tế hóa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quốc tế hóa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quốc tế hóa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quốc tế hóa.</w:t>
      </w:r>
      <w:r>
        <w:t xml:space="preserve"> </w:t>
      </w:r>
      <w:r>
        <w:rPr>
          <w:bCs/>
          <w:b/>
        </w:rPr>
        <w:t xml:space="preserve">Thứ hai</w:t>
      </w:r>
      <w:r>
        <w:t xml:space="preserve">, khi nhóm xuất khẩu chuyển dịch sang các doanh nghiệp hoạt động ở cường độ quốc tế hóa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quốc tế hóa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quốc tế hóa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quốc tế hóa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hoạt động kinh doanh</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quốc tế hóa là các yếu tố quyết định hiệu quả hoạt động kinh doanh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hoạt động kinh doanh,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hoạt động kinh doanh được đo bằng logarithm năng suất lao động (lnLP). Quốc tế hóa được đo bằng cường độ quốc tế hóa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quốc tế hóa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quốc tế hóa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quốc tế hóa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quốc tế hóa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quốc tế hóa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quốc tế hóa: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quốc tế hóa. Tương tác FSTS_c × DAI_z âm gợi ý rằng kênh có điều kiện này ràng buộc chủ yếu ở cường độ quốc tế hóa cao hơn thay vì đồng đều trong toàn dải cường độ quốc tế hóa.</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quốc tế hóa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hoạt động kinh doanh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quốc tế hóa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quốc tế hóa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quốc tế hóa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quốc tế hóa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quốc tế hóa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quốc tế hóa)</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quốc tế hóa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quốc tế hóa cao hơn — nhất quán với ranh giới Tầng 1 của construct: một website đơn thuần không thể quản lý mật độ giao dịch của các hoạt động cường độ quốc tế hóa cao mà không có hỗ trợ thanh toán điện tử và tích hợp quy trình. Điều này tương phản với các bối cảnh nơi cùng construct bao gồm các mục giao dịch Tầng 2 cho phép, nơi cường độ quốc tế hóa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quốc tế hóa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quốc tế hóa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quốc tế hóa vẫn liên quan đến năng suất. Nhắm mục tiêu hỗ trợ xuất khẩu vào các doanh nghiệp được định vị trong vùng chi phí gia nhập — thay vì các doanh nghiệp đã hoạt động ở cường độ quốc tế hóa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quốc tế hóa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quốc tế hóa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2026-05-25T01:39:56Z</dcterms:created>
  <dcterms:modified xsi:type="dcterms:W3CDTF">2026-05-25T01:39:56Z</dcterms:modified>
</cp:coreProperties>
</file>

<file path=docProps/custom.xml><?xml version="1.0" encoding="utf-8"?>
<Properties xmlns="http://schemas.openxmlformats.org/officeDocument/2006/custom-properties" xmlns:vt="http://schemas.openxmlformats.org/officeDocument/2006/docPropsVTypes"/>
</file>