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Xb663fd811f9ccaeb2ae3153759a1dbf14007b75"/>
    <w:p>
      <w:pPr>
        <w:pStyle w:val="Heading1"/>
      </w:pPr>
      <w:r>
        <w:t xml:space="preserve">Năng lực công nghệ, Áp dụng số và Mối quan hệ Quốc tế hóa–Hiệu quả hoạt động kinh doanh: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Mức độ áp dụng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quốc tế hóa (Foreign Sales to Total Sales — FSTS) quan sát được phù hợp hơn với mô tả "chủ yếu tăng đơn điệu với độ cong nhẹ hình parabol" hơn là đường cong chữ U ngược; điểm ngưỡng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quốc tế hóa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quốc tế hóa; năng suất lao động; Singapore</w:t>
      </w:r>
    </w:p>
    <w:p>
      <w:r>
        <w:pict>
          <v:rect style="width:0;height:1.5pt" o:hralign="center" o:hrstd="t" o:hr="t"/>
        </w:pict>
      </w:r>
    </w:p>
    <w:bookmarkEnd w:id="20"/>
    <w:bookmarkStart w:id="25" w:name="X8291021638e5c0ee7b47a0aaabc4b853f1da348"/>
    <w:p>
      <w:pPr>
        <w:pStyle w:val="Heading2"/>
      </w:pPr>
      <w:r>
        <w:t xml:space="preserve">1 Giới thiệu</w:t>
      </w:r>
    </w:p>
    <w:bookmarkStart w:id="21" w:name="X2bbf06b978493e9d1834e71727fce707721bc38"/>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quốc tế hóa.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văn liệu rộng hơn (Marano et al. 2016). Tuy nhiên, phần lớn văn liệu này được phát triển trong các bối cảnh tiền số hóa hoặc số hóa đang chuyển đổi, nơi điều kiện thể chế và hạ tầng khác biệt đáng kể so với các nền kinh tế số tiên tiến (Peng 2003; Peng et al. 2008). Do đó, văn liệu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quốc tế hóa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quốc tế hóa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X15fa9c063fdc88ac4ab2eee112a83d2c594b43c"/>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quốc tế hóa trong một môi trường thể chế số tiên tiến vẫn còn hạn chế. Đặc biệt, văn liệu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văn liệu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quốc tế hóa thực tế mà doanh nghiệp Singapore chiếm giữ hay không, đồng thời tách biệt năng lực công nghệ khỏi áp dụng số nền tảng trong cùng một khung thực nghiệm.</w:t>
      </w:r>
    </w:p>
    <w:bookmarkEnd w:id="22"/>
    <w:bookmarkStart w:id="23" w:name="Xeedc03ef61ada7b1412bb34ba01505c4b6d308f"/>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quốc tế hóa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quốc tế hóa. Bằng chứng cho cơ chế này (H3: số hạng tương tác (interaction term) bậc hai DAI×FSTS² dương, β = +3,119, p = ,005) là phát hiện thực nghiệm đặc sắc nhất và ít được dự đoán nhất bởi văn liệu trước.</w:t>
      </w:r>
    </w:p>
    <w:p>
      <w:pPr>
        <w:pStyle w:val="BodyText"/>
      </w:pPr>
      <w:r>
        <w:t xml:space="preserve">Đóng góp bổ trợ thứ nhất làm rõ văn liệu I–P phi tuyến thông thường. Trong phạm vi cường độ quốc tế hóa quan sát được, hàm bậc hai phù hợp có thể hiểu chắc chắn hơn là "chủ yếu tăng đơn điệu với độ cong nhẹ" hơn là đường cong chữ U ngược được xác định chính thức: điểm ngưỡng ước tính nằm gần FSTS = 82%, trong vùng đuôi trên thưa dữ liệu, và kiểm định Lind–Mehlum không xác nhận chính thức sự suy giảm phía phải ở ngưỡng thông thường. Nghiên cứu này làm rõ thêm thay vì bác bỏ văn liệu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hoạt động kinh doanh thông qua các pattern thực nghiệm khác nhau: TCI thể hiện mối liên hệ năng suất trực tiếp ổn định hơn, trong khi DAI thể hiện pattern phụ thuộc vào cường độ quốc tế hóa.</w:t>
      </w:r>
    </w:p>
    <w:bookmarkEnd w:id="23"/>
    <w:bookmarkStart w:id="24" w:name="X64aef485a8de4ca702805bf7e3ae9662519e679"/>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Xc948a667d59efd33f3b5fae659341d5c8fb2e03"/>
    <w:p>
      <w:pPr>
        <w:pStyle w:val="Heading2"/>
      </w:pPr>
      <w:r>
        <w:t xml:space="preserve">2 Lý thuyết và Giả thuyết</w:t>
      </w:r>
    </w:p>
    <w:bookmarkStart w:id="26" w:name="X61760cb5d794fbccc3c87976f1b11c3ba42fa4c"/>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hoạt động kinh doanh. Hitt et al. (1997) giới thiệu logic đường cong chữ U ngược: quốc tế hóa ban đầu mang lại lợi ích quy mô và học hỏi, nhưng ở mức cường độ quốc tế hóa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văn liệu này là đường cong chữ U ngược với điểm ngưỡng trong khoảng FSTS 30%–60% (Marano et al. 2016).</w:t>
      </w:r>
    </w:p>
    <w:p>
      <w:pPr>
        <w:pStyle w:val="BodyText"/>
      </w:pPr>
      <w:r>
        <w:t xml:space="preserve">Một hàm ý quan trọng của văn liệu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Xba456ce87386d169e9c9262f854925dee014bcc"/>
    <w:p>
      <w:pPr>
        <w:pStyle w:val="Heading3"/>
      </w:pPr>
      <w:r>
        <w:t xml:space="preserve">2.2 Hai cấu trúc phân biệt: TCI và DAI</w:t>
      </w:r>
    </w:p>
    <w:p>
      <w:pPr>
        <w:pStyle w:val="FirstParagraph"/>
      </w:pPr>
      <w:r>
        <w:t xml:space="preserve">Một vấn đề lặp đi lặp lại trong văn liệu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Mức độ áp dụng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 "áp dụng số" có thể bảo vệ hơn "năng lực số" 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411767e4cb8e308bd26585f16f897673db74ffc"/>
    <w:p>
      <w:pPr>
        <w:pStyle w:val="Heading3"/>
      </w:pPr>
      <w:r>
        <w:t xml:space="preserve">2.3 Xây dựng giả thuyết (hypothesis development)</w:t>
      </w:r>
    </w:p>
    <w:bookmarkStart w:id="28" w:name="Xb70fd8a8ac8254dde811f86e6137f0546dfed09"/>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1937f529981fcc50ebc9da694d0f207358b6141"/>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X3dad10c6265aeac8e019cbdc193c53fce625584"/>
    <w:p>
      <w:pPr>
        <w:pStyle w:val="Heading4"/>
      </w:pPr>
      <w:r>
        <w:t xml:space="preserve">2.3.3 Tác động trực tiếp của DAI lên năng suất</w:t>
      </w:r>
    </w:p>
    <w:p>
      <w:pPr>
        <w:pStyle w:val="FirstParagraph"/>
      </w:pPr>
      <w:r>
        <w:t xml:space="preserve">Áp dụng số liên quan đến hiệu quả hoạt động kinh doanh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quốc tế hóa mà tại đó nhu cầu điều phối xuyên biên giới tạo ra lợi nhuận có thể đo lường được.</w:t>
      </w:r>
    </w:p>
    <w:bookmarkEnd w:id="30"/>
    <w:bookmarkStart w:id="31" w:name="X2d1a64c7676c768e696cc0f68a01afd99b5447a"/>
    <w:p>
      <w:pPr>
        <w:pStyle w:val="Heading4"/>
      </w:pPr>
      <w:r>
        <w:t xml:space="preserve">2.3.4 DAI như bổ sung có điều kiện cho cường độ quốc tế hóa</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quốc tế hóa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quốc tế hóa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quốc tế hóa, về mặt hiệu quả xoay đường cong I–P lên trên cho các doanh nghiệp có DAI cao thay vì dịch chuyển song song. Khuếch đại dự đoán đóng góp tăng tốc của DAI khi cường độ quốc tế hóa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quốc tế hóa.</w:t>
      </w:r>
      <w:r>
        <w:t xml:space="preserve"> </w:t>
      </w:r>
      <w:r>
        <w:rPr>
          <w:iCs/>
          <w:i/>
        </w:rPr>
        <w:t xml:space="preserve">Cơ chế 3 — Lựa chọn</w:t>
      </w:r>
      <w:r>
        <w:t xml:space="preserve">: các doanh nghiệp vốn có năng suất cao hơn đồng thời chọn vào áp dụng số cao và cường độ quốc tế hóa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quốc tế hóa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quốc tế hóa cao hơn, mối liên hệ giữa áp dụng số (DAI) và hiệu quả hoạt động kinh doanh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quốc tế hóa mà tại đó khối lượng giao dịch biện hộ cho việc sử dụng cường độ cao các giao diện số và hệ thống thanh toán điện tử.</w:t>
      </w:r>
    </w:p>
    <w:bookmarkEnd w:id="31"/>
    <w:bookmarkEnd w:id="32"/>
    <w:bookmarkStart w:id="36" w:name="Xbabf1bd5f16bfe512abfeef274bf140a0367221"/>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hoạt động kinh doanh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quốc tế hóa thay vì vận hành như một phần thưởng trực tiếp đồng đều.</w:t>
      </w:r>
    </w:p>
    <w:p>
      <w:pPr>
        <w:pStyle w:val="BodyText"/>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Quốc tế hóa (FSTS, FSTS²) là biến độc lập; hiệu quả hoạt động kinh doanh,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X5c22f461717f6985c51c98929ae1229bd8ca429"/>
    <w:p>
      <w:pPr>
        <w:pStyle w:val="Heading2"/>
      </w:pPr>
      <w:r>
        <w:t xml:space="preserve">3 Phương pháp</w:t>
      </w:r>
    </w:p>
    <w:bookmarkStart w:id="38" w:name="X0aa05548ddcdf9b9d1d174c8c53d893d3ea66b1"/>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X4ccc2fb137c87b79d1e71cbfea6dc6e4b23640a"/>
    <w:p>
      <w:pPr>
        <w:pStyle w:val="Heading3"/>
      </w:pPr>
      <w:r>
        <w:t xml:space="preserve">3.2 Biến số</w:t>
      </w:r>
    </w:p>
    <w:bookmarkStart w:id="39" w:name="X89c6bd10aa66e3682b8ede447e4a1b17a9ca04b"/>
    <w:p>
      <w:pPr>
        <w:pStyle w:val="Heading4"/>
      </w:pPr>
      <w:r>
        <w:t xml:space="preserve">3.2.1 Biến phụ thuộc</w:t>
      </w:r>
    </w:p>
    <w:p>
      <w:pPr>
        <w:pStyle w:val="FirstParagraph"/>
      </w:pPr>
      <w:r>
        <w:t xml:space="preserve">Hiệu quả hoạt động kinh doanh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Xb7ff738be8cc365d9e084a533fe65e2d1b0d018"/>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X905b3d544419d80a55acf7d60b92ca6642d6309"/>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Xaa1e64995ed801a03257e044d7060c9b81c2d8a"/>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edf6820b4c66d39134fc209658864df01c1b30a"/>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quốc tế hóa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β₁·FSTS_c + β₂·FSTS_c² + β₃·TCI + β₄·DAI + β₅·(FSTS_c × DAI) + β₆·(FSTS_c² × DAI) + γ·controls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X3967cb01926bf7a05f7b9bd4b09dce572f68668"/>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quốc tế hóa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 "đường cong chữ U ngược thất bại", vì kiểm định được điều kiện hóa trên hỗ trợ dày đặc xung quanh điểm ngưỡng, mà điều kiện biên §3.4(i) xác lập là vắng mặt ở đây. Được đọc dựa trên giả thuyết bão hòa được phát triển trong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Xc1528237297c4ce8999628372a6b48494fd6214"/>
    <w:p>
      <w:pPr>
        <w:pStyle w:val="Heading2"/>
      </w:pPr>
      <w:r>
        <w:t xml:space="preserve">4 Kết quả</w:t>
      </w:r>
    </w:p>
    <w:bookmarkStart w:id="47" w:name="Xc951dcce2c5c6672eadc5b901b983504017f146"/>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quốc tế hóa.</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1d32c55e8c1abb4174997302f6e594a45ce795f"/>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ngưỡng trong đuôi trên của phân phối cường độ quốc tế hóa,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ngưỡng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 "không có chữ U ngược" với "chữ U ngược mà sự suy giảm phía phải đã bị đẩy vào đuôi trên không quan sát được." 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quốc tế hóa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văn liệu phi tuyến thông thường, đồng thời giữ cách diễn giải trong phạm vi hỗ trợ thực nghiệm thực sự có sẵn trong mẫu Singapore.</w:t>
      </w:r>
    </w:p>
    <w:bookmarkEnd w:id="48"/>
    <w:bookmarkStart w:id="49" w:name="Xd23969b1de63b605cdbb0f952e47f1c3f8fe467"/>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quốc tế hóa.</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X8a6b101f0258543db1d8a490a43d0eb67b4d956"/>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 "chủ yếu đơn điệu dương với độ cong bậc hai nhẹ" 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quốc tế hóa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BodyText"/>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BodyText"/>
      </w:pPr>
      <w:r>
        <w:rPr>
          <w:iCs/>
          <w:i/>
        </w:rPr>
        <w:t xml:space="preserve">Hình 2.</w:t>
      </w:r>
      <w:r>
        <w:t xml:space="preserve"> </w:t>
      </w:r>
      <w:r>
        <w:t xml:space="preserve">Tác động biên của DAI theo cường độ quốc tế hóa,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BodyText"/>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Đường cong quốc tế hóa–hiệu quả dự đoán. Mối quan hệ dự đoán giữa cường độ quốc tế hóa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X18ec34d03ee992f21de3c840c386ac3951d0715"/>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X3923f9545aa9c992e02ccb4472a40e02686b4e2"/>
    <w:p>
      <w:pPr>
        <w:pStyle w:val="Heading2"/>
      </w:pPr>
      <w:r>
        <w:t xml:space="preserve">5 Thảo luận</w:t>
      </w:r>
    </w:p>
    <w:bookmarkStart w:id="59" w:name="Xa5f90a77c48bf7bc090ededca40b912d614a395"/>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hoạt động kinh doanh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văn liệu I–P phi tuyến thông thường. Trong mẫu Singapore, hàm bậc hai phù hợp hiển thị độ cong nhẹ, nhưng sự suy giảm phía phải không được xác định chính thức trong phạm vi cường độ quốc tế hóa mà hầu hết doanh nghiệp chiếm giữ, và điểm ngưỡng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quốc tế hóa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quốc tế hóa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w:t>
      </w:r>
    </w:p>
    <w:p>
      <w:pPr>
        <w:pStyle w:val="BodyText"/>
      </w:pPr>
      <w:r>
        <w:rPr>
          <w:bCs/>
          <w:b/>
        </w:rPr>
        <w:t xml:space="preserve">Phân xử thực nghiệm giữa ba cơ chế ứng viên được đặt ra trong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quốc tế hóa,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X4b995eebd2400b91ac2ffa9981af62f753ccfbe"/>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quốc tế hóa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quốc tế hóa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Xb6340858ada32986909ac4c0a6855391782490d"/>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quốc tế hóa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văn liệu I–P phi tuyến trong bối cảnh này. Trong phạm vi cường độ quốc tế hóa quan sát được, pattern cơ sở phù hợp hơn với mô tả "chủ yếu tăng đơn điệu với độ cong bậc hai nhẹ" hơn là đường cong chữ U ngược được xác định chính thức, vì điểm ngưỡng ước tính nằm trong vùng đuôi trên thưa dữ liệu và được xác định không chính xác. Được đọc theo cách này, bằng chứng không bác bỏ văn liệu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quốc tế hóa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Xa7116c5ea598b7bb437f4e79133bf970ff02a5b"/>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quốc tế hóa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ngưỡng phù hợp và tín hiệu điều tiết DAI mạnh nhất xuất hiện. Điểm ngoặt ước tính trong đặc tả bậc hai do đó nên được diễn giải là đặc trưng mô tả thay vì là điểm ngưỡng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5"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w:t>
      </w:r>
      <w:r>
        <w:t xml:space="preserve"> </w:t>
      </w:r>
      <w:hyperlink r:id="rId64">
        <w:r>
          <w:rPr>
            <w:rStyle w:val="Hyperlink"/>
          </w:rPr>
          <w:t xml:space="preserve">www.enterprisesurveys.org</w:t>
        </w:r>
      </w:hyperlink>
      <w:r>
        <w:t xml:space="preserve">. Các script phân tích để tái lập kết quả có sẵn từ tác giả liên hệ theo yêu cầu hợp lý.</w:t>
      </w:r>
    </w:p>
    <w:bookmarkEnd w:id="65"/>
    <w:bookmarkStart w:id="66"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6"/>
    <w:bookmarkStart w:id="103"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w:t>
      </w:r>
      <w:r>
        <w:t xml:space="preserve"> </w:t>
      </w:r>
      <w:hyperlink r:id="rId67">
        <w:r>
          <w:rPr>
            <w:rStyle w:val="Hyperlink"/>
          </w:rPr>
          <w:t xml:space="preserve">https://doi.org/10.1037/0021-9010.90.1.94</w:t>
        </w:r>
      </w:hyperlink>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w:t>
      </w:r>
      <w:r>
        <w:t xml:space="preserve"> </w:t>
      </w:r>
      <w:hyperlink r:id="rId69">
        <w:r>
          <w:rPr>
            <w:rStyle w:val="Hyperlink"/>
          </w:rPr>
          <w:t xml:space="preserve">https://doi.org/10.1057/s41287-020-00328-2</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70">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71">
        <w:r>
          <w:rPr>
            <w:rStyle w:val="Hyperlink"/>
          </w:rPr>
          <w:t xml:space="preserve">https://doi.org/10.1177/014920639101700108</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2">
        <w:r>
          <w:rPr>
            <w:rStyle w:val="Hyperlink"/>
          </w:rPr>
          <w:t xml:space="preserve">https://doi.org/10.25300/MISQ/2013/37:2.3</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73">
        <w:r>
          <w:rPr>
            <w:rStyle w:val="Hyperlink"/>
          </w:rPr>
          <w:t xml:space="preserve">https://doi.org/10.1257/mac.20180386</w:t>
        </w:r>
      </w:hyperlink>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75">
        <w:r>
          <w:rPr>
            <w:rStyle w:val="Hyperlink"/>
          </w:rPr>
          <w:t xml:space="preserve">https://doi.org/10.1016/j.jbusres.2008.01.013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6">
        <w:r>
          <w:rPr>
            <w:rStyle w:val="Hyperlink"/>
          </w:rPr>
          <w:t xml:space="preserve">https://doi.org/10.1007/s11575-007-0024-2</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7">
        <w:r>
          <w:rPr>
            <w:rStyle w:val="Hyperlink"/>
          </w:rPr>
          <w:t xml:space="preserve">https://doi.org/10.1057/palgrave.jibs.8400003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8">
        <w:r>
          <w:rPr>
            <w:rStyle w:val="Hyperlink"/>
          </w:rPr>
          <w:t xml:space="preserve">https://doi.org/10.1002/smj.2399</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79">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0">
        <w:r>
          <w:rPr>
            <w:rStyle w:val="Hyperlink"/>
          </w:rPr>
          <w:t xml:space="preserve">https://doi.org/10.5465/256948</w:t>
        </w:r>
      </w:hyperlink>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w:t>
      </w:r>
      <w:r>
        <w:t xml:space="preserve"> </w:t>
      </w:r>
      <w:hyperlink r:id="rId81">
        <w:r>
          <w:rPr>
            <w:rStyle w:val="Hyperlink"/>
          </w:rPr>
          <w:t xml:space="preserve">https://doi.org/10.1016/j.ibusrev.2017.07.003</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82">
        <w:r>
          <w:rPr>
            <w:rStyle w:val="Hyperlink"/>
          </w:rPr>
          <w:t xml:space="preserve">https://doi.org/10.1177/2515245918770963</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6">
        <w:r>
          <w:rPr>
            <w:rStyle w:val="Hyperlink"/>
          </w:rPr>
          <w:t xml:space="preserve">https://doi.org/10.1016/0304-4076(85)90158-7</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87">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88">
        <w:r>
          <w:rPr>
            <w:rStyle w:val="Hyperlink"/>
          </w:rPr>
          <w:t xml:space="preserve">https://doi.org/10.1057/s41267-017-0078-8</w:t>
        </w:r>
      </w:hyperlink>
    </w:p>
    <w:p>
      <w:pPr>
        <w:pStyle w:val="BodyText"/>
      </w:pPr>
      <w:r>
        <w:t xml:space="preserve">O'Brien, R. M. (2007). A caution regarding rules of thumb for variance inflation factors.</w:t>
      </w:r>
      <w:r>
        <w:t xml:space="preserve"> </w:t>
      </w:r>
      <w:r>
        <w:rPr>
          <w:iCs/>
          <w:i/>
        </w:rPr>
        <w:t xml:space="preserve">Quality &amp; Quantity, 41</w:t>
      </w:r>
      <w:r>
        <w:t xml:space="preserve">(5), 673–690.</w:t>
      </w:r>
      <w:r>
        <w:t xml:space="preserve"> </w:t>
      </w:r>
      <w:hyperlink r:id="rId89">
        <w:r>
          <w:rPr>
            <w:rStyle w:val="Hyperlink"/>
          </w:rPr>
          <w:t xml:space="preserve">https://doi.org/10.1007/s11135-006-9018-6</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9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91">
        <w:r>
          <w:rPr>
            <w:rStyle w:val="Hyperlink"/>
          </w:rPr>
          <w:t xml:space="preserve">https://doi.org/10.1057/palgrave.jibs.8400377</w:t>
        </w:r>
      </w:hyperlink>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w:t>
      </w:r>
      <w:r>
        <w:t xml:space="preserve"> </w:t>
      </w:r>
      <w:hyperlink r:id="rId92">
        <w:r>
          <w:rPr>
            <w:rStyle w:val="Hyperlink"/>
          </w:rPr>
          <w:t xml:space="preserve">https://doi.org/10.1057/palgrave.jibs.8400073</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w:t>
      </w:r>
      <w:r>
        <w:t xml:space="preserve"> </w:t>
      </w:r>
      <w:hyperlink r:id="rId93">
        <w:r>
          <w:rPr>
            <w:rStyle w:val="Hyperlink"/>
          </w:rPr>
          <w:t xml:space="preserve">https://doi.org/10.1177/0149206319846272</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94">
        <w:r>
          <w:rPr>
            <w:rStyle w:val="Hyperlink"/>
          </w:rPr>
          <w:t xml:space="preserve">https://doi.org/10.1002/gsj.1336</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95">
        <w:r>
          <w:rPr>
            <w:rStyle w:val="Hyperlink"/>
          </w:rPr>
          <w:t xml:space="preserve">https://doi.org/10.1016/j.jbusres.2019.09.022</w:t>
        </w:r>
      </w:hyperlink>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96">
        <w:r>
          <w:rPr>
            <w:rStyle w:val="Hyperlink"/>
          </w:rPr>
          <w:t xml:space="preserve">https://doi.org/10.1002/smj.2995</w:t>
        </w:r>
      </w:hyperlink>
    </w:p>
    <w:p>
      <w:r>
        <w:pict>
          <v:rect style="width:0;height:1.5pt" o:hralign="center" o:hrstd="t" o:hr="t"/>
        </w:pict>
      </w:r>
    </w:p>
    <w:p>
      <w:pPr>
        <w:pStyle w:val="FirstParagraph"/>
      </w:pPr>
      <w:r>
        <w:rPr>
          <w:iCs/>
          <w:i/>
        </w:rPr>
        <w:t xml:space="preserve">Nguồn bối cảnh bổ sung (trích dẫn trong §1.1 và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97">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98">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99">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 StartupBlink Research.</w:t>
      </w:r>
      <w:r>
        <w:t xml:space="preserve"> </w:t>
      </w:r>
      <w:hyperlink r:id="rId100">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01">
        <w:r>
          <w:rPr>
            <w:rStyle w:val="Hyperlink"/>
          </w:rPr>
          <w:t xml:space="preserve">https://www.startupblink.com/blog/innovators-business-environment-index/</w:t>
        </w:r>
      </w:hyperlink>
    </w:p>
    <w:p>
      <w:pPr>
        <w:pStyle w:val="BodyText"/>
      </w:pPr>
      <w:r>
        <w:t xml:space="preserve">World Bank. (2024).</w:t>
      </w:r>
      <w:r>
        <w:t xml:space="preserve"> </w:t>
      </w:r>
      <w:r>
        <w:rPr>
          <w:iCs/>
          <w:i/>
        </w:rPr>
        <w:t xml:space="preserve">World Bank Enterprise Survey: Singapore 2023</w:t>
      </w:r>
      <w:r>
        <w:t xml:space="preserve">.</w:t>
      </w:r>
      <w:r>
        <w:t xml:space="preserve"> </w:t>
      </w:r>
      <w:hyperlink r:id="rId102">
        <w:r>
          <w:rPr>
            <w:rStyle w:val="Hyperlink"/>
          </w:rPr>
          <w:t xml:space="preserve">https://www.enterprisesurveys.org</w:t>
        </w:r>
      </w:hyperlink>
    </w:p>
    <w:bookmarkEnd w:id="103"/>
    <w:bookmarkEnd w:id="10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94" Target="https://doi.org/10.1002/gsj.1336" TargetMode="External" /><Relationship Type="http://schemas.openxmlformats.org/officeDocument/2006/relationships/hyperlink" Id="rId78" Target="https://doi.org/10.1002/smj.2399" TargetMode="External" /><Relationship Type="http://schemas.openxmlformats.org/officeDocument/2006/relationships/hyperlink" Id="rId96" Target="https://doi.org/10.1002/smj.2995" TargetMode="External" /><Relationship Type="http://schemas.openxmlformats.org/officeDocument/2006/relationships/hyperlink" Id="rId89" Target="https://doi.org/10.1007/s11135-006-9018-6" TargetMode="External" /><Relationship Type="http://schemas.openxmlformats.org/officeDocument/2006/relationships/hyperlink" Id="rId76" Target="https://doi.org/10.1007/s11575-007-0024-2" TargetMode="External" /><Relationship Type="http://schemas.openxmlformats.org/officeDocument/2006/relationships/hyperlink" Id="rId86" Target="https://doi.org/10.1016/0304-4076(85)90158-7" TargetMode="External" /><Relationship Type="http://schemas.openxmlformats.org/officeDocument/2006/relationships/hyperlink" Id="rId83" Target="https://doi.org/10.1016/0305-750X(92)90097-F" TargetMode="External" /><Relationship Type="http://schemas.openxmlformats.org/officeDocument/2006/relationships/hyperlink" Id="rId81" Target="https://doi.org/10.1016/j.ibusrev.2017.07.003" TargetMode="External" /><Relationship Type="http://schemas.openxmlformats.org/officeDocument/2006/relationships/hyperlink" Id="rId75" Target="https://doi.org/10.1016/j.jbusres.2008.01.013" TargetMode="External" /><Relationship Type="http://schemas.openxmlformats.org/officeDocument/2006/relationships/hyperlink" Id="rId95" Target="https://doi.org/10.1016/j.jbusres.2019.09.022" TargetMode="External" /><Relationship Type="http://schemas.openxmlformats.org/officeDocument/2006/relationships/hyperlink" Id="rId68" Target="https://doi.org/10.1016/j.leaqua.2010.10.010" TargetMode="External" /><Relationship Type="http://schemas.openxmlformats.org/officeDocument/2006/relationships/hyperlink" Id="rId67" Target="https://doi.org/10.1037/0021-9010.90.1.94" TargetMode="External" /><Relationship Type="http://schemas.openxmlformats.org/officeDocument/2006/relationships/hyperlink" Id="rId77" Target="https://doi.org/10.1057/palgrave.jibs.8400003" TargetMode="External" /><Relationship Type="http://schemas.openxmlformats.org/officeDocument/2006/relationships/hyperlink" Id="rId92" Target="https://doi.org/10.1057/palgrave.jibs.8400073" TargetMode="External" /><Relationship Type="http://schemas.openxmlformats.org/officeDocument/2006/relationships/hyperlink" Id="rId91" Target="https://doi.org/10.1057/palgrave.jibs.8400377" TargetMode="External" /><Relationship Type="http://schemas.openxmlformats.org/officeDocument/2006/relationships/hyperlink" Id="rId88" Target="https://doi.org/10.1057/s41267-017-0078-8" TargetMode="External" /><Relationship Type="http://schemas.openxmlformats.org/officeDocument/2006/relationships/hyperlink" Id="rId70" Target="https://doi.org/10.1057/s41267-019-00243-7" TargetMode="External" /><Relationship Type="http://schemas.openxmlformats.org/officeDocument/2006/relationships/hyperlink" Id="rId69" Target="https://doi.org/10.1057/s41287-020-00328-2" TargetMode="External" /><Relationship Type="http://schemas.openxmlformats.org/officeDocument/2006/relationships/hyperlink" Id="rId84" Target="https://doi.org/10.1111/j.1468-0084.2009.00569.x" TargetMode="External" /><Relationship Type="http://schemas.openxmlformats.org/officeDocument/2006/relationships/hyperlink" Id="rId87" Target="https://doi.org/10.1177/0149206315624963" TargetMode="External" /><Relationship Type="http://schemas.openxmlformats.org/officeDocument/2006/relationships/hyperlink" Id="rId93" Target="https://doi.org/10.1177/0149206319846272" TargetMode="External" /><Relationship Type="http://schemas.openxmlformats.org/officeDocument/2006/relationships/hyperlink" Id="rId71" Target="https://doi.org/10.1177/014920639101700108" TargetMode="External" /><Relationship Type="http://schemas.openxmlformats.org/officeDocument/2006/relationships/hyperlink" Id="rId82" Target="https://doi.org/10.1177/2515245918770963" TargetMode="External" /><Relationship Type="http://schemas.openxmlformats.org/officeDocument/2006/relationships/hyperlink" Id="rId73" Target="https://doi.org/10.1257/mac.20180386" TargetMode="External" /><Relationship Type="http://schemas.openxmlformats.org/officeDocument/2006/relationships/hyperlink" Id="rId74" Target="https://doi.org/10.2307/2393553" TargetMode="External" /><Relationship Type="http://schemas.openxmlformats.org/officeDocument/2006/relationships/hyperlink" Id="rId72" Target="https://doi.org/10.25300/MISQ/2013/37:2.3" TargetMode="External" /><Relationship Type="http://schemas.openxmlformats.org/officeDocument/2006/relationships/hyperlink" Id="rId85" Target="https://doi.org/10.5465/20159604" TargetMode="External" /><Relationship Type="http://schemas.openxmlformats.org/officeDocument/2006/relationships/hyperlink" Id="rId80" Target="https://doi.org/10.5465/256948" TargetMode="External" /><Relationship Type="http://schemas.openxmlformats.org/officeDocument/2006/relationships/hyperlink" Id="rId79" Target="https://doi.org/10.5465/amr.1984.4277628" TargetMode="External" /><Relationship Type="http://schemas.openxmlformats.org/officeDocument/2006/relationships/hyperlink" Id="rId90" Target="https://doi.org/10.5465/amr.2003.9416341" TargetMode="External" /><Relationship Type="http://schemas.openxmlformats.org/officeDocument/2006/relationships/hyperlink" Id="rId9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102" Target="https://www.enterprisesurveys.org" TargetMode="External" /><Relationship Type="http://schemas.openxmlformats.org/officeDocument/2006/relationships/hyperlink" Id="rId99" Target="https://www.imda.gov.sg/resources/press-releases-factsheets-and-speeches/press-releases/2025/asia-tech-x-singapore-turns-five" TargetMode="External" /><Relationship Type="http://schemas.openxmlformats.org/officeDocument/2006/relationships/hyperlink" Id="rId101" Target="https://www.startupblink.com/blog/innovators-business-environment-index/" TargetMode="External" /><Relationship Type="http://schemas.openxmlformats.org/officeDocument/2006/relationships/hyperlink" Id="rId100" Target="https://www.startupblink.com/startup-ecosystem/singapore" TargetMode="External" /><Relationship Type="http://schemas.openxmlformats.org/officeDocument/2006/relationships/hyperlink" Id="rId98"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2026-05-25T01:39:56Z</dcterms:created>
  <dcterms:modified xsi:type="dcterms:W3CDTF">2026-05-25T01:39:56Z</dcterms:modified>
</cp:coreProperties>
</file>

<file path=docProps/custom.xml><?xml version="1.0" encoding="utf-8"?>
<Properties xmlns="http://schemas.openxmlformats.org/officeDocument/2006/custom-properties" xmlns:vt="http://schemas.openxmlformats.org/officeDocument/2006/docPropsVTypes"/>
</file>