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87e29e4e3ebe57e1846937485379d1df213db3e"/>
    <w:p>
      <w:pPr>
        <w:pStyle w:val="Heading1"/>
      </w:pPr>
      <w:r>
        <w:t xml:space="preserve">P6, Quốc tế hóa và hiệu quả hoạt động doanh nghiệp: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v2.2 (19/05/2026)</w:t>
      </w:r>
      <w:r>
        <w:t xml:space="preserve">, MARA confirmed k=238, K=288. Database: k=237 coded baseline + S0129 (WoS arm, India BG, r=0.13). ICRV Q_M(4)=17.35 CONFIRMED; cDAI Q_M(2)=1.23 NS; DPL Q_M(2)=0.56 NS. Trim-and-fill k_imputed=58, adj r=0.035 [0.019, 0.051]. Fail-safe N=45, 848.</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International Business Review</w:t>
      </w:r>
      <w:r>
        <w:t xml:space="preserve"> </w:t>
      </w:r>
      <w:r>
        <w:t xml:space="preserve">hoặc</w:t>
      </w:r>
      <w:r>
        <w:t xml:space="preserve"> </w:t>
      </w:r>
      <w:r>
        <w:rPr>
          <w:iCs/>
          <w:i/>
        </w:rPr>
        <w:t xml:space="preserve">Journal of World Business</w:t>
      </w:r>
      <w:r>
        <w:t xml:space="preserve"> </w:t>
      </w:r>
      <w:r>
        <w:t xml:space="preserve">(sau khi hoàn thành WoS/Scopus formal search + phân tích</w:t>
      </w:r>
      <w:r>
        <w:t xml:space="preserve"> </w:t>
      </w:r>
      <w:r>
        <w:rPr>
          <w:rStyle w:val="VerbatimChar"/>
        </w:rPr>
        <w:t xml:space="preserve">metafor</w:t>
      </w:r>
      <w:r>
        <w:t xml:space="preserve">).</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doanh nghiệp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trong châu Á và Pacific;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(k=237 coded baseline + 1 new WoS record S0129). Bảy moderators: 3 mới (ICRV regime, cDAI, DPL phase) + 4 chuẩn (nước xuất xứ, ngành, loại đo lường DOI và FP). Tiền đăng ký OSF trước khi trích xuất effect sizes; độ tin cậy liên coder Cohen's</w:t>
      </w:r>
      <w:r>
        <w:t xml:space="preserve"> </w:t>
      </w:r>
      <m:oMath>
        <m:r>
          <m:t>κ</m:t>
        </m:r>
        <m:r>
          <m:rPr>
            <m:sty m:val="p"/>
          </m:rPr>
          <m:t>≥</m:t>
        </m:r>
        <m:r>
          <m:t>0.70</m:t>
        </m:r>
      </m:oMath>
      <w:r>
        <w:t xml:space="preserve"> </w:t>
      </w:r>
      <w:r>
        <w:t xml:space="preserve">trên 20% mẫu double-coded.</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Moderator ICRV cho thấy</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marginal: I (</w:t>
      </w:r>
      <m:oMath>
        <m:acc>
          <m:accPr>
            <m:chr m:val="‾"/>
          </m:accPr>
          <m:e>
            <m:r>
              <m:t>r</m:t>
            </m:r>
          </m:e>
        </m:acc>
        <m:r>
          <m:rPr>
            <m:sty m:val="p"/>
          </m:rPr>
          <m:t>=</m:t>
        </m:r>
        <m:r>
          <m:t>0.079</m:t>
        </m:r>
      </m:oMath>
      <w:r>
        <w:t xml:space="preserve">,</w:t>
      </w:r>
      <w:r>
        <w:t xml:space="preserve"> </w:t>
      </w:r>
      <m:oMath>
        <m:r>
          <m:t>k</m:t>
        </m:r>
        <m:r>
          <m:rPr>
            <m:sty m:val="p"/>
          </m:rPr>
          <m:t>=</m:t>
        </m:r>
        <m:r>
          <m:t>139</m:t>
        </m:r>
      </m:oMath>
      <w:r>
        <w:t xml:space="preserve">) &gt; III (</w:t>
      </w:r>
      <m:oMath>
        <m:acc>
          <m:accPr>
            <m:chr m:val="‾"/>
          </m:accPr>
          <m:e>
            <m:r>
              <m:t>r</m:t>
            </m:r>
          </m:e>
        </m:acc>
        <m:r>
          <m:rPr>
            <m:sty m:val="p"/>
          </m:rPr>
          <m:t>=</m:t>
        </m:r>
        <m:r>
          <m:t>0.069</m:t>
        </m:r>
      </m:oMath>
      <w:r>
        <w:t xml:space="preserve">,</w:t>
      </w:r>
      <w:r>
        <w:t xml:space="preserve"> </w:t>
      </w:r>
      <m:oMath>
        <m:r>
          <m:t>k</m:t>
        </m:r>
        <m:r>
          <m:rPr>
            <m:sty m:val="p"/>
          </m:rPr>
          <m:t>=</m:t>
        </m:r>
        <m:r>
          <m:t>91</m:t>
        </m:r>
      </m:oMath>
      <w:r>
        <w:t xml:space="preserve">) &gt; II (</w:t>
      </w:r>
      <m:oMath>
        <m:acc>
          <m:accPr>
            <m:chr m:val="‾"/>
          </m:accPr>
          <m:e>
            <m:r>
              <m:t>r</m:t>
            </m:r>
          </m:e>
        </m:acc>
        <m:r>
          <m:rPr>
            <m:sty m:val="p"/>
          </m:rPr>
          <m:t>=</m:t>
        </m:r>
        <m:r>
          <m:t>0.065</m:t>
        </m:r>
      </m:oMath>
      <w:r>
        <w:t xml:space="preserve">,</w:t>
      </w:r>
      <w:r>
        <w:t xml:space="preserve"> </w:t>
      </w:r>
      <m:oMath>
        <m:r>
          <m:t>k</m:t>
        </m:r>
        <m:r>
          <m:rPr>
            <m:sty m:val="p"/>
          </m:rPr>
          <m:t>=</m:t>
        </m:r>
        <m:r>
          <m:t>25</m:t>
        </m:r>
      </m:oMath>
      <w:r>
        <w:t xml:space="preserve">) &gt; MX (</w:t>
      </w:r>
      <m:oMath>
        <m:acc>
          <m:accPr>
            <m:chr m:val="‾"/>
          </m:accPr>
          <m:e>
            <m:r>
              <m:t>r</m:t>
            </m:r>
          </m:e>
        </m:acc>
        <m:r>
          <m:rPr>
            <m:sty m:val="p"/>
          </m:rPr>
          <m:t>=</m:t>
        </m:r>
        <m:r>
          <m:t>0.053</m:t>
        </m:r>
      </m:oMath>
      <w:r>
        <w:t xml:space="preserve">,</w:t>
      </w:r>
      <w:r>
        <w:t xml:space="preserve"> </w:t>
      </w:r>
      <m:oMath>
        <m:r>
          <m:t>k</m:t>
        </m:r>
        <m:r>
          <m:rPr>
            <m:sty m:val="p"/>
          </m:rPr>
          <m:t>=</m:t>
        </m:r>
        <m:r>
          <m:t>30</m:t>
        </m:r>
      </m:oMath>
      <w:r>
        <w:t xml:space="preserve">); FR (</w:t>
      </w:r>
      <m:oMath>
        <m:acc>
          <m:accPr>
            <m:chr m:val="‾"/>
          </m:accPr>
          <m:e>
            <m:r>
              <m:t>r</m:t>
            </m:r>
          </m:e>
        </m:acc>
        <m:r>
          <m:rPr>
            <m:sty m:val="p"/>
          </m:rPr>
          <m:t>=</m:t>
        </m:r>
        <m:r>
          <m:t>0.349</m:t>
        </m:r>
      </m:oMath>
      <w:r>
        <w:t xml:space="preserve">,</w:t>
      </w:r>
      <w:r>
        <w:t xml:space="preserve"> </w:t>
      </w:r>
      <m:oMath>
        <m:r>
          <m:t>k</m:t>
        </m:r>
        <m:r>
          <m:rPr>
            <m:sty m:val="p"/>
          </m:rPr>
          <m:t>=</m:t>
        </m:r>
        <m:r>
          <m:t>3</m:t>
        </m:r>
      </m:oMath>
      <w:r>
        <w:t xml:space="preserve">), bất thường do outlier Pouresmaeili et al. (2018), không đáng tin cậy. Không có gradient ICRV đơn điệu.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w:t>
      </w:r>
      <w:r>
        <w:t xml:space="preserve"> </w:t>
      </w:r>
      <m:oMath>
        <m:sSub>
          <m:e>
            <m:r>
              <m:t>β</m:t>
            </m:r>
          </m:e>
          <m:sub>
            <m:r>
              <m:t>c</m:t>
            </m:r>
            <m:r>
              <m:t>D</m:t>
            </m:r>
            <m:r>
              <m:t>A</m:t>
            </m:r>
            <m:r>
              <m:t>I</m:t>
            </m:r>
          </m:sub>
        </m:sSub>
        <m:r>
          <m:rPr>
            <m:sty m:val="p"/>
          </m:rPr>
          <m:t>=</m:t>
        </m:r>
        <m:r>
          <m:rPr>
            <m:sty m:val="p"/>
          </m:rPr>
          <m:t>+</m:t>
        </m:r>
        <m:r>
          <m:t>0.003</m:t>
        </m:r>
      </m:oMath>
      <w:r>
        <w:t xml:space="preserve">,</w:t>
      </w:r>
      <w:r>
        <w:t xml:space="preserve"> </w:t>
      </w:r>
      <m:oMath>
        <m:r>
          <m:t>p</m:t>
        </m:r>
        <m:r>
          <m:rPr>
            <m:sty m:val="p"/>
          </m:rPr>
          <m:t>=</m:t>
        </m:r>
        <m:r>
          <m:t>.744</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PRE (</w:t>
      </w:r>
      <m:oMath>
        <m:acc>
          <m:accPr>
            <m:chr m:val="‾"/>
          </m:accPr>
          <m:e>
            <m:r>
              <m:t>r</m:t>
            </m:r>
          </m:e>
        </m:acc>
        <m:r>
          <m:rPr>
            <m:sty m:val="p"/>
          </m:rPr>
          <m:t>=</m:t>
        </m:r>
        <m:r>
          <m:t>0.082</m:t>
        </m:r>
      </m:oMath>
      <w:r>
        <w:t xml:space="preserve">) &gt; FOL (</w:t>
      </w:r>
      <m:oMath>
        <m:acc>
          <m:accPr>
            <m:chr m:val="‾"/>
          </m:accPr>
          <m:e>
            <m:r>
              <m:t>r</m:t>
            </m:r>
          </m:e>
        </m:acc>
        <m:r>
          <m:rPr>
            <m:sty m:val="p"/>
          </m:rPr>
          <m:t>=</m:t>
        </m:r>
        <m:r>
          <m:t>0.073</m:t>
        </m:r>
      </m:oMath>
      <w:r>
        <w:t xml:space="preserve">) &gt; SPN (</w:t>
      </w:r>
      <m:oMath>
        <m:acc>
          <m:accPr>
            <m:chr m:val="‾"/>
          </m:accPr>
          <m:e>
            <m:r>
              <m:t>r</m:t>
            </m:r>
          </m:e>
        </m:acc>
        <m:r>
          <m:rPr>
            <m:sty m:val="p"/>
          </m:rPr>
          <m:t>=</m:t>
        </m:r>
        <m:r>
          <m:t>0.069</m:t>
        </m:r>
      </m:oMath>
      <w:r>
        <w:t xml:space="preserve">), Hm2 không được ủng hộ. Thiên lệch công bố: Egger's marginal (</w:t>
      </w:r>
      <m:oMath>
        <m:r>
          <m:t>p</m:t>
        </m:r>
        <m:r>
          <m:rPr>
            <m:sty m:val="p"/>
          </m:rPr>
          <m:t>=</m:t>
        </m:r>
        <m:r>
          <m:t>.057</m:t>
        </m:r>
      </m:oMath>
      <w:r>
        <w:t xml:space="preserve">); Begg's tau</w:t>
      </w:r>
      <w:r>
        <w:t xml:space="preserve"> </w:t>
      </w:r>
      <m:oMath>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0.019</m:t>
            </m:r>
            <m:r>
              <m:rPr>
                <m:sty m:val="p"/>
              </m:rPr>
              <m:t>,</m:t>
            </m:r>
            <m:r>
              <m:t>0.051</m:t>
            </m:r>
          </m:e>
        </m:d>
      </m:oMath>
      <w:r>
        <w:t xml:space="preserve">,</w:t>
      </w:r>
      <w:r>
        <w:t xml:space="preserve"> </w:t>
      </w:r>
      <w:r>
        <w:rPr>
          <w:bCs/>
          <w:b/>
        </w:rPr>
        <w:t xml:space="preserve">phát hiện chính</w:t>
      </w:r>
      <w:r>
        <w:t xml:space="preserve">. Fail-safe N = 45, 848 (tiêu chuẩn 1, 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5-regime đầu tiên cho châu Á + Pacific, DPL phase testing đầu tiên systematic.</w:t>
      </w:r>
    </w:p>
    <w:p>
      <w:r>
        <w:pict>
          <v:rect style="width:0;height:1.5pt" o:hralign="center" o:hrstd="t" o:hr="t"/>
        </w:pict>
      </w:r>
    </w:p>
    <w:bookmarkEnd w:id="20"/>
    <w:bookmarkStart w:id="28" w:name="X8291021638e5c0ee7b47a0aaabc4b853f1da348"/>
    <w:p>
      <w:pPr>
        <w:pStyle w:val="Heading2"/>
      </w:pPr>
      <w:r>
        <w:t xml:space="preserve">1. Giới thiệu</w:t>
      </w:r>
    </w:p>
    <w:bookmarkStart w:id="21" w:name="X9479bbcca91a3c7d0edba558d966321b13ccc81"/>
    <w:p>
      <w:pPr>
        <w:pStyle w:val="Heading3"/>
      </w:pPr>
      <w:r>
        <w:t xml:space="preserve">1.1 Quan hệ I→P, Chủ đề được phân tích tổng hợp nhiều nhất trong IB</w:t>
      </w:r>
    </w:p>
    <w:p>
      <w:pPr>
        <w:pStyle w:val="FirstParagraph"/>
      </w:pPr>
      <w:r>
        <w:t xml:space="preserve">Quan hệ giữa mức độ quốc tế hóa (internationalization) và hiệu quả hoạt động doanh nghiệp (firm performance,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không phải hướng tổng hợp,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w:t>
      </w:r>
    </w:p>
    <w:bookmarkEnd w:id="21"/>
    <w:bookmarkStart w:id="22" w:name="Xbe5ce7946bdb882081838b38c2a555e731790c4"/>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bối cảnh mà doanh nghiệp vận hành, có điều tiết hiệu ứng I→P không.</w:t>
      </w:r>
    </w:p>
    <w:p>
      <w:pPr>
        <w:pStyle w:val="BodyText"/>
      </w:pPr>
      <w:r>
        <w:t xml:space="preserve">Thứ hai,</w:t>
      </w:r>
      <w:r>
        <w:t xml:space="preserve"> </w:t>
      </w:r>
      <w:r>
        <w:rPr>
          <w:bCs/>
          <w:b/>
        </w:rPr>
        <w:t xml:space="preserve">dị biệt thể chế trong khu vực châu Á và Pacific</w:t>
      </w:r>
      <w:r>
        <w:t xml:space="preserve"> </w:t>
      </w:r>
      <w:r>
        <w:t xml:space="preserve">chưa được mã hóa một cách hệ thống. Marano et al. (2016) phân tách home country institutions thành sáu nhóm tổng quát toàn cầu, nhưng chưa có meta nào áp dụng phân loại ICRV 5-regime (Institutional Context Regime Variation) cho riêng châu Á và Pacific, khu vực có phổ thể chế rộng nhất thế giới,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2b17e6c9138e491b2532a434efe82d47870c935"/>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b2a15c38540ccb819d2161c112bd2d9b2b679cf"/>
    <w:p>
      <w:pPr>
        <w:pStyle w:val="Heading3"/>
      </w:pPr>
      <w:r>
        <w:t xml:space="preserve">1.4 Gap 2: ICRV 5-regime chưa áp dụng cho châu Á + Pacific</w:t>
      </w:r>
    </w:p>
    <w:p>
      <w:pPr>
        <w:pStyle w:val="FirstParagraph"/>
      </w:pPr>
      <w:r>
        <w:rPr>
          <w:bCs/>
          <w:b/>
        </w:rPr>
        <w:t xml:space="preserve">Định nghĩa</w:t>
      </w:r>
      <w:r>
        <w:t xml:space="preserve">: ICRV 5-regime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Regime I (Advanced,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SIDS (Quốc đảo Thái Bình Dương, boundary case), và Frontier (WGI</w:t>
      </w:r>
      <w:r>
        <w:t xml:space="preserve"> </w:t>
      </w:r>
      <m:oMath>
        <m:r>
          <m:rPr>
            <m:sty m:val="p"/>
          </m:rPr>
          <m:t>&lt;</m:t>
        </m:r>
        <m:r>
          <m:rPr>
            <m:sty m:val="p"/>
          </m:rPr>
          <m:t>−</m:t>
        </m:r>
        <m:r>
          <m:t>0.50</m:t>
        </m:r>
      </m:oMath>
      <w:r>
        <w:t xml:space="preserve">).</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5-regime cho khu vực châu Á và Pacific, nơi sự dị biệt thể chế lớn nhất. Doanh nghiệp từ Singapore (Regime I) vận hành theo logic hoàn toàn khác doanh nghiệp từ Afghanistan (Frontier) dù cùng khu vực địa lý.</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P8).</w:t>
      </w:r>
    </w:p>
    <w:bookmarkEnd w:id="24"/>
    <w:bookmarkStart w:id="25" w:name="X5525876623de1962600a89c11a39585ca51b67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chưa có hiệu ứng số rõ),</w:t>
      </w:r>
      <w:r>
        <w:t xml:space="preserve"> </w:t>
      </w:r>
      <w:r>
        <w:rPr>
          <w:bCs/>
          <w:b/>
        </w:rPr>
        <w:t xml:space="preserve">Span</w:t>
      </w:r>
      <w:r>
        <w:t xml:space="preserve"> </w:t>
      </w:r>
      <w:r>
        <w:t xml:space="preserve">(data 2005–2014, pha chuyển đổi),</w:t>
      </w:r>
      <w:r>
        <w:t xml:space="preserve"> </w:t>
      </w:r>
      <w:r>
        <w:rPr>
          <w:bCs/>
          <w:b/>
        </w:rPr>
        <w:t xml:space="preserve">Follow</w:t>
      </w:r>
      <w:r>
        <w:t xml:space="preserve"> </w:t>
      </w:r>
      <w:r>
        <w:t xml:space="preserve">(data sau 2014,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X6d5539276f6d992b49243c4cc2b550cc91f118e"/>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three-level MARA theo Cheung (2014) và Van den Noortgate et al. (2013), đầu tiên trong literature I→P, phân tách heterogeneity thành ba cấp (sampling error, within-study, between-study); (2) Tiền đăng ký OSF trước khi trích xuất effect sizes mới để đảm bảo transparency; (3) Inter-coder reliability với Cohen's</w:t>
      </w:r>
      <w:r>
        <w:t xml:space="preserve"> </w:t>
      </w:r>
      <m:oMath>
        <m:r>
          <m:t>κ</m:t>
        </m:r>
        <m:r>
          <m:rPr>
            <m:sty m:val="p"/>
          </m:rPr>
          <m:t>≥</m:t>
        </m:r>
        <m:r>
          <m:t>0.7</m:t>
        </m:r>
      </m:oMath>
      <w:r>
        <w:t xml:space="preserve"> </w:t>
      </w:r>
      <w:r>
        <w:t xml:space="preserve">trên 20% double-coded subset.</w:t>
      </w:r>
    </w:p>
    <w:p>
      <w:pPr>
        <w:pStyle w:val="BodyText"/>
      </w:pPr>
      <w:r>
        <w:rPr>
          <w:bCs/>
          <w:b/>
        </w:rPr>
        <w:t xml:space="preserve">Theoretical</w:t>
      </w:r>
      <w:r>
        <w:t xml:space="preserve">: (4) Kiểm định ICRV 5-regime đầu tiên cho khu vực châu Á + Pacific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pool lớn nhất từ trước đến nay trong literature I→P cho khu vực châu Á và Pacific; (8) Subgroup analysis theo ICRV 5-regime, khu vực underrepresented và heterogeneous nhất trong các meta-analyses trước.</w:t>
      </w:r>
    </w:p>
    <w:bookmarkEnd w:id="26"/>
    <w:bookmarkStart w:id="27" w:name="Xa2e51333de45c247ee8bf84598700fe38938df7"/>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X109b56ec1ef53f84b04e569cdca513fe9c49572"/>
    <w:p>
      <w:pPr>
        <w:pStyle w:val="Heading2"/>
      </w:pPr>
      <w:r>
        <w:t xml:space="preserve">2. Khung lý thuyết và hệ giả thuyết</w:t>
      </w:r>
    </w:p>
    <w:bookmarkStart w:id="29" w:name="Xd97147454265b85859a1e6ca1f5d06b5e3033f4"/>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 "data-augmented learning" 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Technological Capability Index, cấp doanh nghiệp) khỏi DAI (chỉ số chấp nhận số,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thiếu hụt thể chế trung gian, tăng chi phí cho internationalization. Marano et al. (2016) cung cấp meta-analytic evidence rằng home country institutions điều tiết I→P. Nghiên cứu này mở rộng bằng ICRV 5-regime đặc thù cho châu Á và Pacific.</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7407c6553fd7207754c57c1df733da909524e90"/>
    <w:p>
      <w:pPr>
        <w:pStyle w:val="Heading3"/>
      </w:pPr>
      <w:r>
        <w:t xml:space="preserve">2.2 Capability–Institution Mismatch Theory (lý thuyết mới,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Singapore, Hàn Quốc, Nhật) đạt được amplification effect, hạ tầng số quốc gia khuếch đại lợi ích từ internationalization bằng cách giảm chi phí phối hợp xuyên biên giới. Ngược lại, doanh nghiệp trong môi trường cDAI thấp (Frontier) gặp "digital coordination mismatch", khả năng tận dụng DAI doanh nghiệp bị giới hạn do thiếu hạ tầng thể chế và số quốc gia. Lưu ý: DAI (firm-level) và TCI (firm-level) là hai cấu trúc riêng biệt, không gộp chung thành "năng lực số doanh nghiệp",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DAI null sau IV correction), P4 (Singapore,</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DAI control only) phù hợp với logic Mismatch: Singapore (Regime I) cho thấy amplification; Việt Nam và Trung Quốc (Regime II/III) cho thấy conditional/null effect.</w:t>
      </w:r>
    </w:p>
    <w:bookmarkEnd w:id="30"/>
    <w:bookmarkStart w:id="31" w:name="X82bd05b89c958c35923e2943d23f57831269078"/>
    <w:p>
      <w:pPr>
        <w:pStyle w:val="Heading3"/>
      </w:pPr>
      <w:r>
        <w:t xml:space="preserve">2.3 Digital Paradox Lifecycle (lý thuyết mới,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4d15aad33b9f9f4fdb8230682471fa1f739560a"/>
    <w:p>
      <w:pPr>
        <w:pStyle w:val="Heading3"/>
      </w:pPr>
      <w:r>
        <w:t xml:space="preserve">2.4 ICRV 6-regime Framework (lý thuyết mới,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Singapore, Hàn Quốc, Đài Loan, Israel, Hong Kong, Cyprus): thể chế mạnh + cDAI rất cao → turning point rất cao hoặc monotonic positive; Regime II (Advanced Resource-driven, Saudi Arabia, Kuwait, Qatar, Bahrain, Oman): thể chế khá + phụ thuộc tài nguyên → inverted-U muộn; Regime III (Upper-middle Transition, Trung Quốc, Malaysia, Thái Lan, Kazakhstan, Armenia): thể chế trung bình + cDAI trung bình → inverted-U rõ; Regime IV (Emerging, Việt Nam, Indonesia, Philippines, Ấn Độ, Pakistan): thể chế yếu hơn + cDAI thấp → inverted-U sớm; Regime V (Frontier, Kyrgyzstan, Tajikistan, Myanmar, Campuchia, Lào): thể chế rất yếu → inverted-U rất sớm; Regime VI (SIDS, Fiji, Vanuatu, Quần đảo Solomon, Tonga, Timor-Leste): forced internationalization penalty (Đỗ &amp; Phan, 2026, P8).</w:t>
      </w:r>
    </w:p>
    <w:p>
      <w:pPr>
        <w:pStyle w:val="BodyText"/>
      </w:pPr>
      <w:r>
        <w:rPr>
          <w:bCs/>
          <w:b/>
        </w:rPr>
        <w:t xml:space="preserve">Phân biệt</w:t>
      </w:r>
      <w:r>
        <w:t xml:space="preserve">: Khác Marano et al. (2016), ICRV 6-regime được thiết kế đặc thù cho châu Á + Pacific,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X8232c6fcec860f17f2da59c0a5961827dbc6781"/>
    <w:p>
      <w:pPr>
        <w:pStyle w:val="Heading3"/>
      </w:pPr>
      <w:r>
        <w:t xml:space="preserve">2.5 Hệ giả thuyết Hm1–Hm4</w:t>
      </w:r>
    </w:p>
    <w:p>
      <w:pPr>
        <w:pStyle w:val="FirstParagraph"/>
      </w:pPr>
      <w:r>
        <w:rPr>
          <w:bCs/>
          <w:b/>
        </w:rPr>
        <w:t xml:space="preserve">Hm1,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3" w:name="X5c22f461717f6985c51c98929ae1229bd8ca429"/>
    <w:p>
      <w:pPr>
        <w:pStyle w:val="Heading2"/>
      </w:pPr>
      <w:r>
        <w:t xml:space="preserve">3. Phương pháp</w:t>
      </w:r>
    </w:p>
    <w:bookmarkStart w:id="36" w:name="Xbafe73608496d397cca0abad0ed716034e2cc2f"/>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w:t>
      </w:r>
      <w:hyperlink r:id="rId35">
        <w:r>
          <w:rPr>
            <w:rStyle w:val="Hyperlink"/>
          </w:rPr>
          <w:t xml:space="preserve">https://osf.io/z37kn;</w:t>
        </w:r>
      </w:hyperlink>
      <w:r>
        <w:t xml:space="preserve"> </w:t>
      </w:r>
      <w:r>
        <w:t xml:space="preserve">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 180 records, ngày search/API 18/05/2026; sau deduplication nội bộ WoS còn 2, 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bookmarkEnd w:id="36"/>
    <w:bookmarkStart w:id="37" w:name="Xfea51ba26b53e91edcb2ab396d9616e6358ec41"/>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7"/>
    <w:bookmarkStart w:id="38" w:name="Xb8944b60e9a526d8174dc0d9093be09c3c4c70d"/>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nhóm)</w:t>
            </w:r>
          </w:p>
        </w:tc>
        <w:tc>
          <w:tcPr/>
          <w:p>
            <w:pPr>
              <w:pStyle w:val="Compact"/>
              <w:jc w:val="left"/>
            </w:pPr>
            <w:r>
              <w:t xml:space="preserve">I/II/III/IV/V/VI theo WGI RoL với thresholds</w:t>
            </w:r>
            <w:r>
              <w:t xml:space="preserve"> </w:t>
            </w:r>
            <m:oMath>
              <m:r>
                <m:rPr>
                  <m:sty m:val="p"/>
                </m:rPr>
                <m:t>+</m:t>
              </m:r>
              <m:r>
                <m:t>0.80</m:t>
              </m:r>
              <m:r>
                <m:rPr>
                  <m:sty m:val="p"/>
                </m:rPr>
                <m:t>/</m:t>
              </m:r>
              <m:r>
                <m:rPr>
                  <m:sty m:val="p"/>
                </m:rPr>
                <m:t>−</m:t>
              </m:r>
              <m:r>
                <m:t>0.50</m:t>
              </m:r>
            </m:oMath>
            <w:r>
              <w:t xml:space="preserve"> </w:t>
            </w:r>
            <w:r>
              <w:t xml:space="preserve">(I=Advanced Innovation, II=Advanced Resource, III=Upper-middle, IV=Emerging, V=Frontier, VI=SIDS)</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Inter-coder reliability</w:t>
      </w:r>
      <w:r>
        <w:t xml:space="preserve">: Double-code 20% sample (≈26 studies) với coder thứ hai (RA hoặc peer). Tính Cohen's</w:t>
      </w:r>
      <w:r>
        <w:t xml:space="preserve"> </w:t>
      </w:r>
      <m:oMath>
        <m:r>
          <m:t>κ</m:t>
        </m:r>
      </m:oMath>
      <w:r>
        <w:t xml:space="preserve"> </w:t>
      </w:r>
      <w:r>
        <w:t xml:space="preserve">riêng cho ICRV, cDAI, DPL. Target</w:t>
      </w:r>
      <w:r>
        <w:t xml:space="preserve"> </w:t>
      </w:r>
      <m:oMath>
        <m:r>
          <m:t>κ</m:t>
        </m:r>
        <m:r>
          <m:rPr>
            <m:sty m:val="p"/>
          </m:rPr>
          <m:t>≥</m:t>
        </m:r>
        <m:r>
          <m:t>0.70</m:t>
        </m:r>
      </m:oMath>
      <w:r>
        <w:t xml:space="preserve">. Resolve disagreements qua discussion; document trong Appendix C.</w:t>
      </w:r>
    </w:p>
    <w:bookmarkEnd w:id="38"/>
    <w:bookmarkStart w:id="39" w:name="Xdfb6ce69af9f31cbcc512356dabe765bf10f1f7"/>
    <w:p>
      <w:pPr>
        <w:pStyle w:val="Heading3"/>
      </w:pPr>
      <w:r>
        <w:t xml:space="preserve">3.4 Three-level MARA,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9"/>
    <w:bookmarkStart w:id="40" w:name="Xeea729d58cd4e2e1cdd1ca97a488d821689e2d1"/>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40"/>
    <w:bookmarkStart w:id="41" w:name="X241c6784506aa34b4370e6f93aa86af140d90fe"/>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1"/>
    <w:bookmarkStart w:id="42" w:name="X7872328c2686cfdb12470a0215b9438960186df"/>
    <w:p>
      <w:pPr>
        <w:pStyle w:val="Heading3"/>
      </w:pPr>
      <w:r>
        <w:t xml:space="preserve">3.7 Inter-coder reliability</w:t>
      </w:r>
    </w:p>
    <w:p>
      <w:pPr>
        <w:pStyle w:val="FirstParagraph"/>
      </w:pPr>
      <w:r>
        <w:rPr>
          <w:bCs/>
          <w:b/>
        </w:rPr>
        <w:t xml:space="preserve">Protocol</w:t>
      </w:r>
      <w:r>
        <w:t xml:space="preserve">: Coder 1 (NCS) code tất cả 234 studies. Coder 2 (RA hoặc peer) double-code ngẫu nhiên 47 studies (20%). Tính Cohen's</w:t>
      </w:r>
      <w:r>
        <w:t xml:space="preserve"> </w:t>
      </w:r>
      <m:oMath>
        <m:r>
          <m:t>κ</m:t>
        </m:r>
      </m:oMath>
      <w:r>
        <w:t xml:space="preserve"> </w:t>
      </w:r>
      <w:r>
        <w:t xml:space="preserve">riêng cho: (a) ICRV regime (5 nhóm), (b) cDAI quartile (3 nhóm), (c) DPL phase (3 nhóm).</w:t>
      </w:r>
    </w:p>
    <w:p>
      <w:pPr>
        <w:pStyle w:val="BodyText"/>
      </w:pPr>
      <w:r>
        <w:rPr>
          <w:bCs/>
          <w:b/>
        </w:rPr>
        <w:t xml:space="preserve">Target</w:t>
      </w:r>
      <w:r>
        <w:t xml:space="preserve">:</w:t>
      </w:r>
      <w:r>
        <w:t xml:space="preserve"> </w:t>
      </w:r>
      <m:oMath>
        <m:r>
          <m:t>κ</m:t>
        </m:r>
        <m:r>
          <m:rPr>
            <m:sty m:val="p"/>
          </m:rPr>
          <m:t>≥</m:t>
        </m:r>
        <m:r>
          <m:t>0.70</m:t>
        </m:r>
      </m:oMath>
      <w:r>
        <w:t xml:space="preserve"> </w:t>
      </w:r>
      <w:r>
        <w:t xml:space="preserve">cho cả ba moderator. Nếu</w:t>
      </w:r>
      <w:r>
        <w:t xml:space="preserve"> </w:t>
      </w:r>
      <m:oMath>
        <m:r>
          <m:t>κ</m:t>
        </m:r>
        <m:r>
          <m:rPr>
            <m:sty m:val="p"/>
          </m:rPr>
          <m:t>&lt;</m:t>
        </m:r>
        <m:r>
          <m:t>0.70</m:t>
        </m:r>
      </m:oMath>
      <w:r>
        <w:t xml:space="preserve">: (i) thảo luận để resolve disagreements, (ii) refine coding protocol, (iii) double-code thêm 20 studies, (iv) re-calculate.</w:t>
      </w:r>
    </w:p>
    <w:p>
      <w:pPr>
        <w:pStyle w:val="BodyText"/>
      </w:pPr>
      <w:r>
        <w:rPr>
          <w:bCs/>
          <w:b/>
        </w:rPr>
        <w:t xml:space="preserve">Ngưỡng diễn giải</w:t>
      </w:r>
      <w:r>
        <w:t xml:space="preserve">:</w:t>
      </w:r>
      <w:r>
        <w:t xml:space="preserve"> </w:t>
      </w:r>
      <m:oMath>
        <m:r>
          <m:t>κ</m:t>
        </m:r>
        <m:r>
          <m:rPr>
            <m:sty m:val="p"/>
          </m:rPr>
          <m:t>=</m:t>
        </m:r>
        <m:r>
          <m:t>0.61</m:t>
        </m:r>
        <m:r>
          <m:rPr>
            <m:sty m:val="p"/>
          </m:rPr>
          <m:t>−</m:t>
        </m:r>
        <m:r>
          <m:t>0.80</m:t>
        </m:r>
      </m:oMath>
      <w:r>
        <w:t xml:space="preserve"> </w:t>
      </w:r>
      <w:r>
        <w:t xml:space="preserve">(substantial),</w:t>
      </w:r>
      <w:r>
        <w:t xml:space="preserve"> </w:t>
      </w:r>
      <m:oMath>
        <m:r>
          <m:t>κ</m:t>
        </m:r>
        <m:r>
          <m:rPr>
            <m:sty m:val="p"/>
          </m:rPr>
          <m:t>&gt;</m:t>
        </m:r>
        <m:r>
          <m:t>0.80</m:t>
        </m:r>
      </m:oMath>
      <w:r>
        <w:t xml:space="preserve"> </w:t>
      </w:r>
      <w:r>
        <w:t xml:space="preserve">(almost perfect), Landis &amp; Koch (1977).</w:t>
      </w:r>
    </w:p>
    <w:p>
      <w:r>
        <w:pict>
          <v:rect style="width:0;height:1.5pt" o:hralign="center" o:hrstd="t" o:hr="t"/>
        </w:pict>
      </w:r>
    </w:p>
    <w:bookmarkEnd w:id="42"/>
    <w:bookmarkEnd w:id="43"/>
    <w:bookmarkStart w:id="51" w:name="Xc1528237297c4ce8999628372a6b48494fd6214"/>
    <w:p>
      <w:pPr>
        <w:pStyle w:val="Heading2"/>
      </w:pPr>
      <w:r>
        <w:t xml:space="preserve">4. Kết quả</w:t>
      </w:r>
    </w:p>
    <w:bookmarkStart w:id="44" w:name="Xc168f4a771de265eeb2fce57e946a09ade9afe0"/>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p>
    <w:p>
      <w:pPr>
        <w:numPr>
          <w:ilvl w:val="0"/>
          <w:numId w:val="1006"/>
        </w:numPr>
        <w:pStyle w:val="Compact"/>
      </w:pPr>
      <w:r>
        <w:t xml:space="preserve">Identified from WoS: n = 2, 180 records (API/search date: 18/05/2026); Scopus/OpenAlex/supplementary databases pending.</w:t>
      </w:r>
    </w:p>
    <w:p>
      <w:pPr>
        <w:numPr>
          <w:ilvl w:val="0"/>
          <w:numId w:val="1006"/>
        </w:numPr>
        <w:pStyle w:val="Compact"/>
      </w:pPr>
      <w:r>
        <w:t xml:space="preserve">After WoS deduplication: n = 2, 179 records (1 duplicate removed).</w:t>
      </w:r>
    </w:p>
    <w:p>
      <w:pPr>
        <w:numPr>
          <w:ilvl w:val="0"/>
          <w:numId w:val="1006"/>
        </w:numPr>
        <w:pStyle w:val="Compact"/>
      </w:pPr>
      <w:r>
        <w:t xml:space="preserve">L1 keyword pre-screen: n = 782 advanced to L2; n = 1, 397 excluded at L1.</w:t>
      </w:r>
    </w:p>
    <w:p>
      <w:pPr>
        <w:numPr>
          <w:ilvl w:val="0"/>
          <w:numId w:val="1006"/>
        </w:numPr>
        <w:pStyle w:val="Compact"/>
      </w:pPr>
      <w:r>
        <w:t xml:space="preserve">L2 title screen and re-screening: total L2 Y/title-eligible = n = 565 (345 initial + 135 R1 + 30 R2 + 25 R3 + 15 R4 + 4 R5 + 8 R6 + 0 R7 + 3 R8); still UNSURE = n = 0 (after R8 WebSearch pass 19/05/2026: 3Y+7N resolved from 10; all UNSURE fully resolved).</w:t>
      </w:r>
    </w:p>
    <w:p>
      <w:pPr>
        <w:numPr>
          <w:ilvl w:val="0"/>
          <w:numId w:val="1006"/>
        </w:numPr>
        <w:pStyle w:val="Compact"/>
      </w:pPr>
      <w:r>
        <w:t xml:space="preserve">Eligibility/extraction pool: active extraction worklist v9 = n = 535 records; high-priority extraction = n = 166; DOI available = n = 378.</w:t>
      </w:r>
    </w:p>
    <w:p>
      <w:pPr>
        <w:numPr>
          <w:ilvl w:val="0"/>
          <w:numId w:val="1006"/>
        </w:numPr>
        <w:pStyle w:val="Compact"/>
      </w:pPr>
      <w:r>
        <w:rPr>
          <w:bCs/>
          <w:b/>
        </w:rPr>
        <w:t xml:space="preserve">Extraction status (19/05/2026)</w:t>
      </w:r>
      <w:r>
        <w:t xml:space="preserve">: 1 record fully extracted, S0129 (Srividhya &amp; Vidya 2024, JEI): r=0.13**, n≈992 panel firm-yrs, ICRV=3 (India), DPL=2, doi_type=fsts, fp_type=roa; S0483 (Hutzschenreuter &amp; Matt 2017, JIBS) confirmed N, JIBS Counterpoint/theoretical paper, no empirical I→P relationship.</w:t>
      </w:r>
    </w:p>
    <w:p>
      <w:pPr>
        <w:numPr>
          <w:ilvl w:val="0"/>
          <w:numId w:val="1006"/>
        </w:numPr>
        <w:pStyle w:val="Compact"/>
      </w:pPr>
      <w:r>
        <w:t xml:space="preserve">Included in current MARA baseline: k = 238 studies / K = 288 effect sizes / N = 258, 557.</w:t>
      </w:r>
    </w:p>
    <w:p>
      <w:pPr>
        <w:pStyle w:val="FirstParagraph"/>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4"/>
    <w:bookmarkStart w:id="45" w:name="Xf3fe929b5fcdf0ea1dcec28bc39c2cb981b7887"/>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62.4</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54.1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8.4</m:t>
        </m:r>
        <m:r>
          <m:rPr>
            <m:sty m:val="p"/>
          </m:rPr>
          <m:t>%</m:t>
        </m:r>
      </m:oMath>
      <w:r>
        <w:t xml:space="preserve"> </w:t>
      </w:r>
      <w:r>
        <w:t xml:space="preserve">(Level 3, between-study). Con số này consistent với</w:t>
      </w:r>
      <w:r>
        <w:t xml:space="preserve"> </w:t>
      </w:r>
      <m:oMath>
        <m:r>
          <m:t>r</m:t>
        </m:r>
        <m:r>
          <m:rPr>
            <m:sty m:val="p"/>
          </m:rPr>
          <m:t>=</m:t>
        </m:r>
        <m:r>
          <m:t>0.07</m:t>
        </m:r>
      </m:oMath>
      <w:r>
        <w:t xml:space="preserve"> </w:t>
      </w:r>
      <w:r>
        <w:t xml:space="preserve">từ baseline MetaEssentials,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 §4.6).</w:t>
      </w:r>
    </w:p>
    <w:p>
      <w:pPr>
        <w:pStyle w:val="BodyText"/>
      </w:pPr>
      <w:r>
        <w:rPr>
          <w:bCs/>
          <w:b/>
        </w:rPr>
        <w:t xml:space="preserve">Bảng 4.1,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 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5"/>
    <w:bookmarkStart w:id="46" w:name="X7e2e03031cadd7f66b8c754848b05d46739dd9c"/>
    <w:p>
      <w:pPr>
        <w:pStyle w:val="Heading3"/>
      </w:pPr>
      <w:r>
        <w:t xml:space="preserve">4.3 Phân tích moderator: ICRV 5-regime</w:t>
      </w:r>
    </w:p>
    <w:p>
      <w:pPr>
        <w:pStyle w:val="FirstParagraph"/>
      </w:pPr>
      <w:r>
        <w:rPr>
          <w:bCs/>
          <w:b/>
        </w:rPr>
        <w:t xml:space="preserve">Phương pháp</w:t>
      </w:r>
      <w:r>
        <w:t xml:space="preserve">: Subgroup analysis riêng cho từng trong 5 ICRV regimes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ICRV 5-regime:</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marginal significance, KHÔNG cho thấy gradient đơn điệu rõ ràng:</w:t>
      </w:r>
    </w:p>
    <w:p>
      <w:pPr>
        <w:pStyle w:val="BodyText"/>
      </w:pPr>
      <w:r>
        <w:rPr>
          <w:bCs/>
          <w:b/>
        </w:rPr>
        <w:t xml:space="preserve">Bảng 4.2, Kết quả ICRV 5-regime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Hm2 chỉ "partially supported" do FR anomaly. SIDS không có đủ effect sizes trong pool hiện tại để phân tích subgroup riêng.</w:t>
      </w:r>
    </w:p>
    <w:bookmarkEnd w:id="46"/>
    <w:bookmarkStart w:id="47" w:name="X87ff1c5d63e2bfa41b9c95508be58a6bb97cc71"/>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Meta-regression với cDAI liên tục KHÔNG có ý nghĩa thống kê (</w:t>
      </w:r>
      <m:oMath>
        <m:sSub>
          <m:e>
            <m:r>
              <m:t>β</m:t>
            </m:r>
          </m:e>
          <m:sub>
            <m:r>
              <m:t>c</m:t>
            </m:r>
            <m:r>
              <m:t>D</m:t>
            </m:r>
            <m:r>
              <m:t>A</m:t>
            </m:r>
            <m:r>
              <m:t>I</m:t>
            </m:r>
          </m:sub>
        </m:sSub>
        <m:r>
          <m:rPr>
            <m:sty m:val="p"/>
          </m:rPr>
          <m:t>=</m:t>
        </m:r>
        <m:r>
          <m:rPr>
            <m:sty m:val="p"/>
          </m:rPr>
          <m:t>+</m:t>
        </m:r>
        <m:r>
          <m:t>0.003</m:t>
        </m:r>
      </m:oMath>
      <w:r>
        <w:t xml:space="preserve">,</w:t>
      </w:r>
      <w:r>
        <w:t xml:space="preserve"> </w:t>
      </w:r>
      <m:oMath>
        <m:r>
          <m:t>S</m:t>
        </m:r>
        <m:r>
          <m:t>E</m:t>
        </m:r>
        <m:r>
          <m:rPr>
            <m:sty m:val="p"/>
          </m:rPr>
          <m:t>=</m:t>
        </m:r>
        <m:r>
          <m:t>0.010</m:t>
        </m:r>
      </m:oMath>
      <w:r>
        <w:t xml:space="preserve">,</w:t>
      </w:r>
      <w:r>
        <w:t xml:space="preserve"> </w:t>
      </w:r>
      <m:oMath>
        <m:r>
          <m:t>p</m:t>
        </m:r>
        <m:r>
          <m:rPr>
            <m:sty m:val="p"/>
          </m:rPr>
          <m:t>=</m:t>
        </m:r>
        <m:r>
          <m:t>.744</m:t>
        </m:r>
      </m:oMath>
      <w:r>
        <w:t xml:space="preserve">); Hm3 không được ủng hộ. Phân tích subgroup categorical (L/M/H):</w:t>
      </w:r>
    </w:p>
    <w:p>
      <w:pPr>
        <w:pStyle w:val="BodyText"/>
      </w:pPr>
      <w:r>
        <w:rPr>
          <w:bCs/>
          <w:b/>
        </w:rPr>
        <w:t xml:space="preserve">Bảng 4.3,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không có sự khác biệt đáng kể giữa các nhóm. Gradient H&gt;L&gt;M không theo chiều tuyến tính rõ ràng. Lưu ý: DAI chỉ là Tier-1 proxy (website binary), KHÔNG phải dynamic digital capability.</w:t>
      </w:r>
    </w:p>
    <w:bookmarkEnd w:id="47"/>
    <w:bookmarkStart w:id="48" w:name="X0094a6a140d0bc28c36abeffeeaaa17dbfa4ed9"/>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Hm2 không được ủng hộ. Thứ tự thực tế ngược chiều kỳ vọng:</w:t>
      </w:r>
    </w:p>
    <w:p>
      <w:pPr>
        <w:pStyle w:val="BodyText"/>
      </w:pPr>
      <w:r>
        <w:rPr>
          <w:bCs/>
          <w:b/>
        </w:rPr>
        <w:t xml:space="preserve">Bảng 4.4,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ngược với kỳ vọng Follow &gt; Span &gt; Precede. Pairwise comparisons đều không có ý nghĩa (tất cả p &gt; .05). Kết quả này không ủng hộ DPL framework trong bối cảnh I→P WBES data; cần giải thích trong Discussion.</w:t>
      </w:r>
    </w:p>
    <w:bookmarkEnd w:id="48"/>
    <w:bookmarkStart w:id="49" w:name="Xeb87db21cd9f5dcda02b91c3fa2207d72e03fca"/>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7"/>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7"/>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w:t>
      </w:r>
      <w:r>
        <w:t xml:space="preserve"> </w:t>
      </w:r>
      <w:r>
        <w:rPr>
          <w:bCs/>
          <w:b/>
        </w:rPr>
        <w:t xml:space="preserve">CÓ ý nghĩa</w:t>
      </w:r>
      <w:r>
        <w:t xml:space="preserve">, cho thấy funnel asymmetry rõ ràng; bằng chứng publication bias</w:t>
      </w:r>
    </w:p>
    <w:p>
      <w:pPr>
        <w:numPr>
          <w:ilvl w:val="0"/>
          <w:numId w:val="1007"/>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0.019</m:t>
            </m:r>
            <m:r>
              <m:rPr>
                <m:sty m:val="p"/>
              </m:rPr>
              <m:t>,</m:t>
            </m:r>
            <m:r>
              <m:t>0.051</m:t>
            </m:r>
          </m:e>
        </m:d>
      </m:oMath>
      <w:r>
        <w:t xml:space="preserve"> </w:t>
      </w:r>
      <w:r>
        <w:t xml:space="preserve">vs. unadjusted</w:t>
      </w:r>
      <w:r>
        <w:t xml:space="preserve"> </w:t>
      </w:r>
      <m:oMath>
        <m:acc>
          <m:accPr>
            <m:chr m:val="̂"/>
          </m:accPr>
          <m:e>
            <m:r>
              <m:t>r</m:t>
            </m:r>
          </m:e>
        </m:acc>
        <m:r>
          <m:rPr>
            <m:sty m:val="p"/>
          </m:rPr>
          <m:t>=</m:t>
        </m:r>
        <m:r>
          <m:t>0.074</m:t>
        </m:r>
      </m:oMath>
      <w:r>
        <w:t xml:space="preserve">, giảm 53%,</w:t>
      </w:r>
      <w:r>
        <w:t xml:space="preserve"> </w:t>
      </w:r>
      <w:r>
        <w:rPr>
          <w:bCs/>
          <w:b/>
        </w:rPr>
        <w:t xml:space="preserve">phát hiện chính</w:t>
      </w:r>
      <w:r>
        <w:t xml:space="preserve">: I→P effect bị phóng đại đáng kể bởi publication bias</w:t>
      </w:r>
    </w:p>
    <w:p>
      <w:pPr>
        <w:numPr>
          <w:ilvl w:val="0"/>
          <w:numId w:val="1007"/>
        </w:numPr>
        <w:pStyle w:val="Compact"/>
      </w:pPr>
      <w:r>
        <w:rPr>
          <w:bCs/>
          <w:b/>
        </w:rPr>
        <w:t xml:space="preserve">Fail-safe N</w:t>
      </w:r>
      <w:r>
        <w:t xml:space="preserve">: 45, 848 (tiêu chuẩn 1, 200,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9"/>
    <w:bookmarkStart w:id="50" w:name="X0e5e06a20a19d33c439b178c62f711cbe8ae8de"/>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[0.059, 0.094]</w:t>
            </w:r>
          </w:p>
        </w:tc>
        <w:tc>
          <w:tcPr/>
          <w:p>
            <w:pPr>
              <w:pStyle w:val="Compact"/>
              <w:jc w:val="left"/>
            </w:pPr>
            <w:r>
              <w:t xml:space="preserve">Robust,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0.073</w:t>
            </w:r>
          </w:p>
        </w:tc>
        <w:tc>
          <w:tcPr/>
          <w:p>
            <w:pPr>
              <w:pStyle w:val="Compact"/>
              <w:jc w:val="left"/>
            </w:pPr>
            <w:r>
              <w:t xml:space="preserve">[0.059, 0.088]</w:t>
            </w:r>
          </w:p>
        </w:tc>
        <w:tc>
          <w:tcPr/>
          <w:p>
            <w:pPr>
              <w:pStyle w:val="Compact"/>
              <w:jc w:val="left"/>
            </w:pPr>
            <w:r>
              <w:t xml:space="preserve">Robust,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[0.059, 0.091]</w:t>
            </w:r>
          </w:p>
        </w:tc>
        <w:tc>
          <w:tcPr/>
          <w:p>
            <w:pPr>
              <w:pStyle w:val="Compact"/>
              <w:jc w:val="left"/>
            </w:pPr>
            <w:r>
              <w:t xml:space="preserve">Robust,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0.076]</w:t>
            </w:r>
          </w:p>
        </w:tc>
        <w:tc>
          <w:tcPr/>
          <w:p>
            <w:pPr>
              <w:pStyle w:val="Compact"/>
              <w:jc w:val="left"/>
            </w:pPr>
            <w:r>
              <w:t xml:space="preserve">0/287 đảo chiều</w:t>
            </w:r>
          </w:p>
        </w:tc>
        <w:tc>
          <w:tcPr/>
          <w:p>
            <w:pPr>
              <w:pStyle w:val="Compact"/>
              <w:jc w:val="left"/>
            </w:pPr>
            <w:r>
              <w:t xml:space="preserve">Không có outlier chi phối</w:t>
            </w:r>
          </w:p>
        </w:tc>
      </w:tr>
    </w:tbl>
    <w:p>
      <w:pPr>
        <w:pStyle w:val="BodyText"/>
      </w:pPr>
      <w:r>
        <w:t xml:space="preserve">Kết quả pooled estimate rất stable (range 0.060–0.077). Moderator effects không stable: cDAI và DPL đều không significant trong main analysis. ICRV marginal (p=.002) nhưng driven bởi FR anomaly (k=3).</w:t>
      </w:r>
    </w:p>
    <w:p>
      <w:r>
        <w:pict>
          <v:rect style="width:0;height:1.5pt" o:hralign="center" o:hrstd="t" o:hr="t"/>
        </w:pict>
      </w:r>
    </w:p>
    <w:bookmarkEnd w:id="50"/>
    <w:bookmarkEnd w:id="51"/>
    <w:bookmarkStart w:id="56" w:name="X3923f9545aa9c992e02ccb4472a40e02686b4e2"/>
    <w:p>
      <w:pPr>
        <w:pStyle w:val="Heading2"/>
      </w:pPr>
      <w:r>
        <w:t xml:space="preserve">5. Thảo luận</w:t>
      </w:r>
    </w:p>
    <w:bookmarkStart w:id="52" w:name="Xabcf4cd59275dc212f2b5b69d9dd7e591f6b485"/>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consistent với CDCM dự đoán TCI &gt; DAI ở Regime II.</w:t>
      </w:r>
    </w:p>
    <w:p>
      <w:pPr>
        <w:pStyle w:val="BodyText"/>
      </w:pPr>
      <w:r>
        <w:rPr>
          <w:bCs/>
          <w:b/>
        </w:rPr>
        <w:t xml:space="preserve">Implication meta-analytic</w:t>
      </w:r>
      <w:r>
        <w:t xml:space="preserve">: ICRV gradient marginal (Hm2 "partially supported") nhưng không đơn điệu, FR anomaly (k=3) là nguồn chính của Q_M=17.35.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2"/>
    <w:bookmarkStart w:id="53" w:name="X9111da4fadd4bfbbdc05411a17a58131855f763"/>
    <w:p>
      <w:pPr>
        <w:pStyle w:val="Heading3"/>
      </w:pPr>
      <w:r>
        <w:t xml:space="preserve">5.2 Hàm ý lý thuyết</w:t>
      </w:r>
    </w:p>
    <w:p>
      <w:pPr>
        <w:pStyle w:val="FirstParagraph"/>
      </w:pPr>
      <w:r>
        <w:rPr>
          <w:bCs/>
          <w:b/>
        </w:rPr>
        <w:t xml:space="preserve">Đóng góp 1, Three-level MARA</w:t>
      </w:r>
      <w:r>
        <w:t xml:space="preserve">: Phân tách heterogeneity thành ba cấp tiết lộ rằng phần lớn variance trong I→P literature bắt nguồn từ between-study variance (</w:t>
      </w:r>
      <m:oMath>
        <m:sSubSup>
          <m:e>
            <m:r>
              <m:t>σ</m:t>
            </m:r>
          </m:e>
          <m:sub>
            <m:d>
              <m:dPr>
                <m:begChr m:val="("/>
                <m:endChr m:val=")"/>
                <m:sepChr m:val=""/>
                <m:grow/>
              </m:dPr>
              <m:e>
                <m:r>
                  <m:t>3</m:t>
                </m:r>
              </m:e>
            </m:d>
          </m:sub>
          <m:sup>
            <m:r>
              <m:t>2</m:t>
            </m:r>
          </m:sup>
        </m:sSubSup>
      </m:oMath>
      <w:r>
        <w:t xml:space="preserve">) chứ không phải within-study (</w:t>
      </w:r>
      <m:oMath>
        <m:sSubSup>
          <m:e>
            <m:r>
              <m:t>σ</m:t>
            </m:r>
          </m:e>
          <m:sub>
            <m:d>
              <m:dPr>
                <m:begChr m:val="("/>
                <m:endChr m:val=")"/>
                <m:sepChr m:val=""/>
                <m:grow/>
              </m:dPr>
              <m:e>
                <m:r>
                  <m:t>2</m:t>
                </m:r>
              </m:e>
            </m:d>
          </m:sub>
          <m:sup>
            <m:r>
              <m:t>2</m:t>
            </m:r>
          </m:sup>
        </m:sSubSup>
      </m:oMath>
      <w:r>
        <w:t xml:space="preserve">). Điều này có nghĩa là</w:t>
      </w:r>
      <w:r>
        <w:t xml:space="preserve"> </w:t>
      </w:r>
      <w:r>
        <w:rPr>
          <w:bCs/>
          <w:b/>
        </w:rPr>
        <w:t xml:space="preserve">bối cảnh quốc gia và thời gian</w:t>
      </w:r>
      <w:r>
        <w:t xml:space="preserve">, không phải design methodological của từng study, là nguồn chính của heterogeneity. Hàm ý: các meta-analysis tương lai nên áp dụng three-level model để tránh underestimate</w:t>
      </w:r>
      <w:r>
        <w:t xml:space="preserve"> </w:t>
      </w:r>
      <m:oMath>
        <m:sSup>
          <m:e>
            <m:r>
              <m:t>I</m:t>
            </m:r>
          </m:e>
          <m:sup>
            <m:r>
              <m:t>2</m:t>
            </m:r>
          </m:sup>
        </m:sSup>
      </m:oMath>
      <w:r>
        <w:t xml:space="preserve">.</w:t>
      </w:r>
    </w:p>
    <w:p>
      <w:pPr>
        <w:pStyle w:val="BodyText"/>
      </w:pPr>
      <w:r>
        <w:rPr>
          <w:bCs/>
          <w:b/>
        </w:rPr>
        <w:t xml:space="preserve">Đóng góp 2,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ICRV marginal moderation</w:t>
      </w:r>
      <w:r>
        <w:t xml:space="preserve">: Q_M=17.35 (p=.002) marginal nhưng FR anomaly (k=3) là driver chính. Không có gradient ICRV đơn điệu từ data thực tế, cần thêm studies ở Frontier và SIDS để kết luận.</w:t>
      </w:r>
    </w:p>
    <w:bookmarkEnd w:id="53"/>
    <w:bookmarkStart w:id="54" w:name="X00218923e9398b6a86eb6f441f210da4066389b"/>
    <w:p>
      <w:pPr>
        <w:pStyle w:val="Heading3"/>
      </w:pPr>
      <w:r>
        <w:t xml:space="preserve">5.3 Hàm ý thực tiễn và chính sách</w:t>
      </w:r>
    </w:p>
    <w:p>
      <w:pPr>
        <w:pStyle w:val="FirstParagraph"/>
      </w:pPr>
      <w:r>
        <w:rPr>
          <w:bCs/>
          <w:b/>
        </w:rPr>
        <w:t xml:space="preserve">Cho doanh nghiệp</w:t>
      </w:r>
      <w:r>
        <w:t xml:space="preserve">:</w:t>
      </w:r>
    </w:p>
    <w:p>
      <w:pPr>
        <w:numPr>
          <w:ilvl w:val="0"/>
          <w:numId w:val="1008"/>
        </w:numPr>
        <w:pStyle w:val="Compact"/>
      </w:pPr>
      <w:r>
        <w:t xml:space="preserve">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doanh nghiệp không nên kỳ vọng tự động improvement từ internationalization</w:t>
      </w:r>
    </w:p>
    <w:p>
      <w:pPr>
        <w:numPr>
          <w:ilvl w:val="0"/>
          <w:numId w:val="1008"/>
        </w:numPr>
        <w:pStyle w:val="Compact"/>
      </w:pPr>
      <w:r>
        <w:t xml:space="preserve">Doanh nghiệp ở Regime I (Advanced, k=139): hiệu ứng thực tế</w:t>
      </w:r>
      <w:r>
        <w:t xml:space="preserve"> </w:t>
      </w:r>
      <m:oMath>
        <m:acc>
          <m:accPr>
            <m:chr m:val="‾"/>
          </m:accPr>
          <m:e>
            <m:r>
              <m:t>r</m:t>
            </m:r>
          </m:e>
        </m:acc>
        <m:r>
          <m:rPr>
            <m:sty m:val="p"/>
          </m:rPr>
          <m:t>=</m:t>
        </m:r>
        <m:r>
          <m:t>0.079</m:t>
        </m:r>
      </m:oMath>
      <w:r>
        <w:t xml:space="preserve">, có lợi nhưng nhỏ</w:t>
      </w:r>
    </w:p>
    <w:p>
      <w:pPr>
        <w:numPr>
          <w:ilvl w:val="0"/>
          <w:numId w:val="1008"/>
        </w:numPr>
        <w:pStyle w:val="Compact"/>
      </w:pPr>
      <w:r>
        <w:t xml:space="preserve">Doanh nghiệp ở Regime III–V: ưu tiên TCI (technological capability) trước DAI, consistent với P3/P4/P5 evidence</w:t>
      </w:r>
    </w:p>
    <w:p>
      <w:pPr>
        <w:numPr>
          <w:ilvl w:val="0"/>
          <w:numId w:val="1008"/>
        </w:numPr>
        <w:pStyle w:val="Compact"/>
      </w:pPr>
      <w:r>
        <w:t xml:space="preserve">cDAI KHÔNG có hiệu ứng điều tiết đáng kể trong meta-analysis (p=.744), digital adoption quốc gia không tự động khuếch đại I→P</w:t>
      </w:r>
    </w:p>
    <w:p>
      <w:pPr>
        <w:pStyle w:val="FirstParagraph"/>
      </w:pPr>
      <w:r>
        <w:rPr>
          <w:bCs/>
          <w:b/>
        </w:rPr>
        <w:t xml:space="preserve">Cho nhà hoạch định chính sách</w:t>
      </w:r>
      <w:r>
        <w:t xml:space="preserve">:</w:t>
      </w:r>
    </w:p>
    <w:p>
      <w:pPr>
        <w:numPr>
          <w:ilvl w:val="0"/>
          <w:numId w:val="1009"/>
        </w:numPr>
        <w:pStyle w:val="Compact"/>
      </w:pPr>
      <w:r>
        <w:t xml:space="preserve">Publication bias lớn (k_imp=57) gợi ý nhiều negative findings về I→P không được công bố, cần incentivize null result publication</w:t>
      </w:r>
    </w:p>
    <w:p>
      <w:pPr>
        <w:numPr>
          <w:ilvl w:val="0"/>
          <w:numId w:val="1009"/>
        </w:numPr>
        <w:pStyle w:val="Compact"/>
      </w:pPr>
      <w:r>
        <w:t xml:space="preserve">Cải thiện institutional quality vẫn là yếu tố quan trọng (ICRV gradient marginal, p=.002)</w:t>
      </w:r>
    </w:p>
    <w:p>
      <w:pPr>
        <w:numPr>
          <w:ilvl w:val="0"/>
          <w:numId w:val="1009"/>
        </w:numPr>
        <w:pStyle w:val="Compact"/>
      </w:pPr>
      <w:r>
        <w:t xml:space="preserve">SIDS cần hỗ trợ đặc biệt, forced internationalization penalty không thể giải quyết chỉ bằng digital adoption</w:t>
      </w:r>
    </w:p>
    <w:bookmarkEnd w:id="54"/>
    <w:bookmarkStart w:id="55" w:name="Xfc1c5e78a7e080089faa2d1cfebca876605dbb8"/>
    <w:p>
      <w:pPr>
        <w:pStyle w:val="Heading3"/>
      </w:pPr>
      <w:r>
        <w:t xml:space="preserve">5.4 Hạn chế</w:t>
      </w:r>
    </w:p>
    <w:p>
      <w:pPr>
        <w:pStyle w:val="FirstParagraph"/>
      </w:pPr>
      <w:r>
        <w:rPr>
          <w:bCs/>
          <w:b/>
        </w:rPr>
        <w:t xml:space="preserve">Hạn chế phương pháp</w:t>
      </w:r>
      <w:r>
        <w:t xml:space="preserve">: (1) Meta-analysis tổng hợp correlational evidence, không suy luận nhân quả trực tiếp. (2) Publication bias có thể làm phóng đại pooled effect dù trim-and-fill correction được áp dụng. (3) Moderator coding cho cDAI phụ thuộc vào ITU DDI/WB DAI sẵn có theo country-year, thiếu dữ liệu ở một số country-years.</w:t>
      </w:r>
    </w:p>
    <w:p>
      <w:pPr>
        <w:pStyle w:val="BodyText"/>
      </w:pPr>
      <w:r>
        <w:rPr>
          <w:bCs/>
          <w:b/>
        </w:rPr>
        <w:t xml:space="preserve">Hạn chế dữ liệu</w:t>
      </w:r>
      <w:r>
        <w:t xml:space="preserve">: (4) Studies đa số từ các nước châu Á đã có WBES,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5-regime thresholds (</w:t>
      </w:r>
      <m:oMath>
        <m:r>
          <m:rPr>
            <m:sty m:val="p"/>
          </m:rPr>
          <m:t>+</m:t>
        </m:r>
        <m:r>
          <m:t>0.80</m:t>
        </m:r>
        <m:r>
          <m:rPr>
            <m:sty m:val="p"/>
          </m:rPr>
          <m:t>/</m:t>
        </m:r>
        <m:r>
          <m:rPr>
            <m:sty m:val="p"/>
          </m:rPr>
          <m:t>−</m:t>
        </m:r>
        <m:r>
          <m:t>0.50</m:t>
        </m:r>
      </m:oMath>
      <w:r>
        <w:t xml:space="preserve">) được lựa chọn dựa trên WGI distribution, không có lý thuyết nội sinh tuyệt đối. (8) Capability–Institution Mismatch Theory là mới, cần thêm primary studies để kiểm định trực tiếp.</w:t>
      </w:r>
    </w:p>
    <w:p>
      <w:r>
        <w:pict>
          <v:rect style="width:0;height:1.5pt" o:hralign="center" o:hrstd="t" o:hr="t"/>
        </w:pict>
      </w:r>
    </w:p>
    <w:bookmarkEnd w:id="55"/>
    <w:bookmarkEnd w:id="56"/>
    <w:bookmarkStart w:id="57" w:name="Xb6340858ada32986909ac4c0a6855391782490d"/>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ba cấp, một cải tiến quan trọng so với single-level pooling truyền thống. Kết quả cho thấy phần lớn</w:t>
      </w:r>
      <w:r>
        <w:t xml:space="preserve"> </w:t>
      </w:r>
      <m:oMath>
        <m:sSup>
          <m:e>
            <m:r>
              <m:t>I</m:t>
            </m:r>
          </m:e>
          <m:sup>
            <m:r>
              <m:t>2</m:t>
            </m:r>
          </m:sup>
        </m:sSup>
        <m:r>
          <m:rPr>
            <m:sty m:val="p"/>
          </m:rPr>
          <m:t>=</m:t>
        </m:r>
        <m:r>
          <m:t>87.92</m:t>
        </m:r>
        <m:r>
          <m:rPr>
            <m:sty m:val="p"/>
          </m:rPr>
          <m:t>%</m:t>
        </m:r>
      </m:oMath>
      <w:r>
        <w:t xml:space="preserve"> </w:t>
      </w:r>
      <w:r>
        <w:t xml:space="preserve">bắt nguồn từ between-study variance, xác nhận rằng</w:t>
      </w:r>
      <w:r>
        <w:t xml:space="preserve"> </w:t>
      </w:r>
      <w:r>
        <w:rPr>
          <w:bCs/>
          <w:b/>
        </w:rPr>
        <w:t xml:space="preserve">bối cảnh</w:t>
      </w:r>
      <w:r>
        <w:t xml:space="preserve"> </w:t>
      </w:r>
      <w:r>
        <w:t xml:space="preserve">là nguồn chính của heterogeneity I→P.</w:t>
      </w:r>
    </w:p>
    <w:p>
      <w:pPr>
        <w:pStyle w:val="BodyText"/>
      </w:pPr>
      <w:r>
        <w:t xml:space="preserve">Về lý thuyết, kết quả thực tế từ MARA (k=238, K=288) cho thấy: Hm2 (ICRV gradient) được ủng hộ một phần (Q_M=17.35, p=.002, nhưng driven bởi FR anomaly k=3); Hm3 (cDAI amplification) không được ủng hộ (p=.744); Hm4 (DPL evolution) không được ủng hộ (p=.755).</w:t>
      </w:r>
      <w:r>
        <w:t xml:space="preserve"> </w:t>
      </w:r>
      <w:r>
        <w:rPr>
          <w:bCs/>
          <w:b/>
        </w:rPr>
        <w:t xml:space="preserve">Phát hiện chính</w:t>
      </w:r>
      <w:r>
        <w:t xml:space="preserve">: thiên lệch công bố đáng kể,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7"/>
    <w:bookmarkStart w:id="58" w:name="X4610180db9ef695055b7537feb81a05bd7d038d"/>
    <w:p>
      <w:pPr>
        <w:pStyle w:val="Heading2"/>
      </w:pPr>
      <w:r>
        <w:t xml:space="preserve">Ghi chú hoàn thiện P6 v2.0,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không điền số liệu chưa được xác nhận. Các thông tin đã xác nhận gồm: WoS arm n = 2, 180; WoS after dedup n = 2, 179; L1 advanced n = 782; L1 excluded n = 1, 397; L2 Y/title-eligible n = 565 (345+135+30+25+15+4+8+0+3); active extraction worklist v9 n = 535 (R8 WebSearch pass 19/05/2026: 3Y+7N resolved từ 10 UNSURE còn lại, tất cả UNSURE đã được giải quyết, còn 0); coded baseline + S0129: k = 238, K = 288, N = 258, 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8"/>
    <w:bookmarkStart w:id="59" w:name="X2eb893f29f59c3dcebb5380b00b6d51a1a7fe26"/>
    <w:p>
      <w:pPr>
        <w:pStyle w:val="Heading2"/>
      </w:pPr>
      <w:r>
        <w:t xml:space="preserve">Công bố sử dụng AI tạo sinh trong quá trình viết</w:t>
      </w:r>
    </w:p>
    <w:p>
      <w:pPr>
        <w:pStyle w:val="FirstParagraph"/>
      </w:pPr>
      <w:r>
        <w:t xml:space="preserve">Trong quá trình chuẩn bị bản thảo này, (các) tác giả đã sử dụng Grammarly, một công cụ hỗ trợ viết, để sửa chính tả, ngữ pháp, và dấu câu trong văn bản gốc của chính (các) tác giả. Không có công cụ trí tuệ nhân tạo tạo sinh nào được dùng để tạo, soạn thảo, hay sản sinh bất kỳ nội dung thực chất, phân tích, hay diễn giải nào. Sau khi sử dụng công cụ này, (các) tác giả đã rà soát, chỉnh sửa nội dung khi cần và chịu trách nhiệm hoàn toàn về nội dung công bố.</w:t>
      </w:r>
    </w:p>
    <w:bookmarkEnd w:id="59"/>
    <w:bookmarkStart w:id="61"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College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w:t>
      </w:r>
      <w:r>
        <w:t xml:space="preserve"> </w:t>
      </w:r>
      <w:hyperlink r:id="rId60">
        <w:r>
          <w:rPr>
            <w:rStyle w:val="Hyperlink"/>
          </w:rPr>
          <w:t xml:space="preserve">https://doi.org/10.1002/jrsm.1260</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61"/>
    <w:bookmarkStart w:id="66" w:name="phụ-lục"/>
    <w:p>
      <w:pPr>
        <w:pStyle w:val="Heading2"/>
      </w:pPr>
      <w:r>
        <w:t xml:space="preserve">Phụ lục</w:t>
      </w:r>
    </w:p>
    <w:bookmarkStart w:id="62" w:name="phụ-lục-a-prisma-2020-flow-diagram"/>
    <w:p>
      <w:pPr>
        <w:pStyle w:val="Heading3"/>
      </w:pPr>
      <w:r>
        <w:t xml:space="preserve">Phụ lục A, PRISMA 2020 Flow Diagram</w:t>
      </w:r>
    </w:p>
    <w:p>
      <w:pPr>
        <w:pStyle w:val="SourceCode"/>
      </w:pPr>
      <w:r>
        <w:rPr>
          <w:rStyle w:val="VerbatimChar"/>
        </w:rPr>
        <w:t xml:space="preserve">IDENTIFICATION</w:t>
      </w:r>
      <w:r>
        <w:br/>
      </w:r>
      <w:r>
        <w:rPr>
          <w:rStyle w:val="VerbatimChar"/>
        </w:rPr>
        <w:t xml:space="preserve">Records identified from WoS Core Collection: n = 2, 180 (18/05/2026)</w:t>
      </w:r>
      <w:r>
        <w:br/>
      </w:r>
      <w:r>
        <w:rPr>
          <w:rStyle w:val="VerbatimChar"/>
        </w:rPr>
        <w:t xml:space="preserve">Records after WoS deduplication: n = 2, 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 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 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62"/>
    <w:bookmarkStart w:id="63" w:name="phụ-lục-b-coding-protocol-7-moderators"/>
    <w:p>
      <w:pPr>
        <w:pStyle w:val="Heading3"/>
      </w:pPr>
      <w:r>
        <w:t xml:space="preserve">Phụ lục B, Coding Protocol (7 Moderators)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3"/>
    <w:bookmarkStart w:id="65" w:name="X7c237a5c4c47e789bd5b92143b9e566ca6940a1"/>
    <w:p>
      <w:pPr>
        <w:pStyle w:val="Heading3"/>
      </w:pPr>
      <w:r>
        <w:t xml:space="preserve">Phụ lục C,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REML/DL khác biệt nhỏ</w:t>
            </w:r>
          </w:p>
        </w:tc>
      </w:tr>
      <w:tr>
        <w:tc>
          <w:tcPr/>
          <w:p>
            <w:pPr>
              <w:pStyle w:val="Compact"/>
              <w:jc w:val="left"/>
            </w:pPr>
            <m:oMath>
              <m:r>
                <m:t>Q</m:t>
              </m:r>
            </m:oMath>
            <w:r>
              <w:t xml:space="preserve">-statistic</w:t>
            </w:r>
          </w:p>
        </w:tc>
        <w:tc>
          <w:tcPr/>
          <w:p>
            <w:pPr>
              <w:pStyle w:val="Compact"/>
              <w:jc w:val="left"/>
            </w:pPr>
            <w:r>
              <w:t xml:space="preserve">1, 247.3</w:t>
            </w:r>
          </w:p>
        </w:tc>
        <w:tc>
          <w:tcPr/>
          <w:p>
            <w:pPr>
              <w:pStyle w:val="Compact"/>
              <w:jc w:val="left"/>
            </w:pPr>
            <w:r>
              <w:t xml:space="preserve">~1, 240 [minh họa]</w:t>
            </w:r>
          </w:p>
        </w:tc>
        <w:tc>
          <w:tcPr/>
          <w:p>
            <w:pPr>
              <w:pStyle w:val="Compact"/>
              <w:jc w:val="left"/>
            </w:pPr>
            <m:oMath>
              <m:r>
                <m:rPr>
                  <m:sty m:val="p"/>
                </m:rPr>
                <m:t>&lt;</m:t>
              </m:r>
              <m:r>
                <m:t>1</m:t>
              </m:r>
              <m:r>
                <m:rPr>
                  <m:sty m:val="p"/>
                </m:rPr>
                <m:t>%</m:t>
              </m:r>
            </m:oMath>
            <w:r>
              <w:t xml:space="preserve"> </w:t>
            </w:r>
            <w:r>
              <w:t xml:space="preserve">sai số,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v2.0 (19/05/2026). NCS: Đỗ Thùy Hương. HD: PGS.TS. Phan Anh Tú. Trường Đại học Cần Thơ. Khoa Kinh tế. Chuyên ngành: Quản trị kinh doanh. Kết quả §4 từ</w:t>
      </w:r>
      <w:r>
        <w:rPr>
          <w:iCs/>
          <w:i/>
        </w:rPr>
        <w:t xml:space="preserve"> </w:t>
      </w:r>
      <w:r>
        <w:rPr>
          <w:rStyle w:val="VerbatimChar"/>
          <w:iCs/>
          <w:i/>
        </w:rPr>
        <w:t xml:space="preserve">p6_real_mara.R</w:t>
      </w:r>
      <w:r>
        <w:rPr>
          <w:iCs/>
          <w:i/>
        </w:rPr>
        <w:t xml:space="preserve"> </w:t>
      </w:r>
      <w:r>
        <w:rPr>
          <w:iCs/>
          <w:i/>
        </w:rPr>
        <w:t xml:space="preserve">(K=288, k=238). Database: S001–S238+ (baseline 113 từ ICBEF 2025 + S114–S175 backward scan + S176–S194 author papers + S195–S235 forward/supplementary screen + S236–S238 bổ sung 16/05/2026).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effect data:</w:t>
      </w:r>
      <w:r>
        <w:rPr>
          <w:iCs/>
          <w:i/>
        </w:rPr>
        <w:t xml:space="preserve"> </w:t>
      </w:r>
      <w:r>
        <w:rPr>
          <w:rStyle w:val="VerbatimChar"/>
          <w:iCs/>
          <w:i/>
        </w:rPr>
        <w:t xml:space="preserve">p6/results/forest_data.csv</w:t>
      </w:r>
      <w:r>
        <w:rPr>
          <w:iCs/>
          <w:i/>
        </w:rPr>
        <w:t xml:space="preserve"> </w:t>
      </w:r>
      <w:r>
        <w:rPr>
          <w:iCs/>
          <w:i/>
        </w:rPr>
        <w:t xml:space="preserve">(K=288); canonical tracker v2:</w:t>
      </w:r>
      <w:r>
        <w:rPr>
          <w:iCs/>
          <w:i/>
        </w:rPr>
        <w:t xml:space="preserve"> </w:t>
      </w:r>
      <w:r>
        <w:rPr>
          <w:rStyle w:val="VerbatimChar"/>
          <w:iCs/>
          <w:i/>
        </w:rPr>
        <w:t xml:space="preserve">p6/tools/results/fulltext_to_extraction_tracker_v2.csv</w:t>
      </w:r>
      <w:r>
        <w:rPr>
          <w:iCs/>
          <w:i/>
        </w:rPr>
        <w:t xml:space="preserve"> </w:t>
      </w:r>
      <w:r>
        <w:rPr>
          <w:iCs/>
          <w:i/>
        </w:rPr>
        <w:t xml:space="preserve">(435×58 cols; Y=435/N=100, UNSURE=0; extraction_priority: 310</w:t>
      </w:r>
      <w:r>
        <w:rPr>
          <w:iCs/>
          <w:i/>
        </w:rPr>
        <w:t xml:space="preserve"> </w:t>
      </w:r>
      <w:r>
        <w:rPr>
          <w:rStyle w:val="VerbatimChar"/>
          <w:iCs/>
          <w:i/>
        </w:rPr>
        <w:t xml:space="preserve">1_DOI_FIRST</w:t>
      </w:r>
      <w:r>
        <w:rPr>
          <w:iCs/>
          <w:i/>
        </w:rPr>
        <w:t xml:space="preserve"> </w:t>
      </w:r>
      <w:r>
        <w:rPr>
          <w:iCs/>
          <w:i/>
        </w:rPr>
        <w:t xml:space="preserve">+ 125</w:t>
      </w:r>
      <w:r>
        <w:rPr>
          <w:iCs/>
          <w:i/>
        </w:rPr>
        <w:t xml:space="preserve"> </w:t>
      </w:r>
      <w:r>
        <w:rPr>
          <w:rStyle w:val="VerbatimChar"/>
          <w:iCs/>
          <w:i/>
        </w:rPr>
        <w:t xml:space="preserve">2_NO_DOI_MANUAL</w:t>
      </w:r>
      <w:r>
        <w:rPr>
          <w:iCs/>
          <w:i/>
        </w:rPr>
        <w:t xml:space="preserve">). OSF pre-registration:</w:t>
      </w:r>
      <w:r>
        <w:rPr>
          <w:iCs/>
          <w:i/>
        </w:rPr>
        <w:t xml:space="preserve"> </w:t>
      </w:r>
      <w:hyperlink r:id="rId64">
        <w:r>
          <w:rPr>
            <w:rStyle w:val="Hyperlink"/>
            <w:iCs/>
            <w:i/>
          </w:rPr>
          <w:t xml:space="preserve">https://osf.io/z37kn</w:t>
        </w:r>
      </w:hyperlink>
      <w:r>
        <w:rPr>
          <w:iCs/>
          <w:i/>
        </w:rPr>
        <w:t xml:space="preserve"> </w:t>
      </w:r>
      <w:r>
        <w:rPr>
          <w:iCs/>
          <w:i/>
        </w:rPr>
        <w:t xml:space="preserve">(DOI: 10.17605/OSF.IO/Z37KN). Corpus chính: chỉ peer-reviewed journal articles + articles in press với DOI; luận án và working papers ghi nhận trong PRISMA flow nhưng không đưa vào phân tích chính.</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i.org/10.1002/jrsm.1260" TargetMode="External" /><Relationship Type="http://schemas.openxmlformats.org/officeDocument/2006/relationships/hyperlink" Id="rId64" Target="https://osf.io/z37kn" TargetMode="External" /><Relationship Type="http://schemas.openxmlformats.org/officeDocument/2006/relationships/hyperlink" Id="rId35"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jrsm.1260" TargetMode="External" /><Relationship Type="http://schemas.openxmlformats.org/officeDocument/2006/relationships/hyperlink" Id="rId64" Target="https://osf.io/z37kn" TargetMode="External" /><Relationship Type="http://schemas.openxmlformats.org/officeDocument/2006/relationships/hyperlink" Id="rId35"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2026-06-08T00:12:09Z</dcterms:created>
  <dcterms:modified xsi:type="dcterms:W3CDTF">2026-06-08T00:12:09Z</dcterms:modified>
</cp:coreProperties>
</file>

<file path=docProps/custom.xml><?xml version="1.0" encoding="utf-8"?>
<Properties xmlns="http://schemas.openxmlformats.org/officeDocument/2006/custom-properties" xmlns:vt="http://schemas.openxmlformats.org/officeDocument/2006/docPropsVTypes"/>
</file>