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Develops and tests the</w:t>
      </w:r>
      <w:r>
        <w:t xml:space="preserve"> </w:t>
      </w:r>
      <w:r>
        <w:rPr>
          <w:iCs/>
          <w:i/>
        </w:rPr>
        <w:t xml:space="preserve">Capability-Institution Mismatch</w:t>
      </w:r>
      <w:r>
        <w:t xml:space="preserve"> </w:t>
      </w:r>
      <w:r>
        <w:t xml:space="preserve">mechanism: the productivity returns to internationalization are conditioned by how well home-country institutions enable firm capabilities to be deployed across borders. The mechanism predicts three observable firm-level signatures across the institutional gradient: a relocated I–P optimum, deepening concavity in weaker-institution regimes, and stronger digital-for-institutional substitution where institutions are weakest.</w:t>
      </w:r>
    </w:p>
    <w:p>
      <w:pPr>
        <w:pStyle w:val="BodyText"/>
      </w:pPr>
      <w:r>
        <w:rPr>
          <w:bCs/>
          <w:b/>
        </w:rPr>
        <w:t xml:space="preserve">Design/methodology/approach.</w:t>
      </w:r>
      <w:r>
        <w:t xml:space="preserve"> </w:t>
      </w:r>
      <w:r>
        <w:t xml:space="preserve">Hierarchical OLS specification ladder (M0–M11) on harmonised World Bank Enterprise Survey microdata covering 45 Asian and Pacific economies and 98 country-year waves (2003–2025); baseline N = 82,302 firm-observations falling to N = 28,500 in the fully specified model. Country and year FE with HC1 robust SE; country-year cluster-robust SE and wild-cluster bootstrap as small-G inference checks. Economies are ordered on the</w:t>
      </w:r>
      <w:r>
        <w:t xml:space="preserve"> </w:t>
      </w:r>
      <w:r>
        <w:rPr>
          <w:iCs/>
          <w:i/>
        </w:rPr>
        <w:t xml:space="preserve">Institutional Context Regime Variation</w:t>
      </w:r>
      <w:r>
        <w:t xml:space="preserve"> </w:t>
      </w:r>
      <w:r>
        <w:t xml:space="preserve">(ICRV) two-axis framework (institutional capability × resource vulnerability).</w:t>
      </w:r>
    </w:p>
    <w:p>
      <w:pPr>
        <w:pStyle w:val="BodyText"/>
      </w:pPr>
      <w:r>
        <w:rPr>
          <w:bCs/>
          <w:b/>
        </w:rPr>
        <w:t xml:space="preserve">Findings.</w:t>
      </w:r>
      <w:r>
        <w:t xml:space="preserve"> </w:t>
      </w:r>
      <w:r>
        <w:t xml:space="preserve">The I–P relationship is robustly inverted-U with TP</w:t>
      </w:r>
      <w:r>
        <w:t xml:space="preserve"> </w:t>
      </w:r>
      <m:oMath>
        <m:r>
          <m:rPr>
            <m:sty m:val="p"/>
          </m:rPr>
          <m:t>≈</m:t>
        </m:r>
      </m:oMath>
      <w:r>
        <w:t xml:space="preserve"> </w:t>
      </w:r>
      <w:r>
        <w:t xml:space="preserve">37 % (Lind–Mehlum p &lt; .001). Concavity deepens as institutional quality declines, sharpening the over-internationalisation penalty in weaker regimes (H5). Digital adoption raises the productivity level and reshapes the curve; the reshaping is stronger where institutions are weaker (</w:t>
      </w:r>
      <m:oMath>
        <m:r>
          <m:rPr>
            <m:nor/>
            <m:sty m:val="p"/>
          </m:rPr>
          <m:t>DAI</m:t>
        </m:r>
        <m:r>
          <m:rPr>
            <m:sty m:val="p"/>
          </m:rPr>
          <m:t>×</m:t>
        </m:r>
        <m:r>
          <m:rPr>
            <m:nor/>
            <m:sty m:val="p"/>
          </m:rPr>
          <m:t>ICRV</m:t>
        </m:r>
      </m:oMath>
      <w:r>
        <w:t xml:space="preserve"> </w:t>
      </w:r>
      <m:oMath>
        <m:r>
          <m:t>β</m:t>
        </m:r>
      </m:oMath>
      <w:r>
        <w:t xml:space="preserve"> </w:t>
      </w:r>
      <w:r>
        <w:t xml:space="preserve">= +0.052, p = .049 in M11), confirming digital-for-institutional substitution (H6). Technological capability lifts the level uniformly across the curve (H2). All three Capability-Institution Mismatch signatures are confirmed.</w:t>
      </w:r>
    </w:p>
    <w:p>
      <w:pPr>
        <w:pStyle w:val="BodyText"/>
      </w:pPr>
      <w:r>
        <w:rPr>
          <w:bCs/>
          <w:b/>
        </w:rPr>
        <w:t xml:space="preserve">Research limitations/implications.</w:t>
      </w:r>
      <w:r>
        <w:t xml:space="preserve"> </w:t>
      </w:r>
      <w:r>
        <w:t xml:space="preserve">Cross-sectional design precludes causal identification; the M2 → M11 attrition is concentrated at foreign-ownership and managerial controls and drops the Advanced_resource regime entirely, which the wider-sample H1 robustness offsets. SIDS_small exhibits a monotone-negative slope consistent with the Forced Internationalization Penalty mechanism documented in the SIDS companion paper.</w:t>
      </w:r>
    </w:p>
    <w:p>
      <w:pPr>
        <w:pStyle w:val="BodyText"/>
      </w:pPr>
      <w:r>
        <w:rPr>
          <w:bCs/>
          <w:b/>
        </w:rPr>
        <w:t xml:space="preserve">Practical implications.</w:t>
      </w:r>
      <w:r>
        <w:t xml:space="preserve"> </w:t>
      </w:r>
      <w:r>
        <w:t xml:space="preserve">Locate firms within the ICRV regime space rather than apply uniform export-intensity prescriptions; in weaker-institution regimes the productivity payoff to digital infrastructure investment is larger because it substitutes for missing institutional functions.</w:t>
      </w:r>
    </w:p>
    <w:p>
      <w:pPr>
        <w:pStyle w:val="BodyText"/>
      </w:pPr>
      <w:r>
        <w:rPr>
          <w:bCs/>
          <w:b/>
        </w:rPr>
        <w:t xml:space="preserve">Social implications.</w:t>
      </w:r>
      <w:r>
        <w:t xml:space="preserve"> </w:t>
      </w:r>
      <w:r>
        <w:t xml:space="preserve">The relocated-optimum reading reconciles the fragmented Asian I–P record: divergent country findings locate firms at different positions on one institutionally conditioned curve, not contradictory regularities.</w:t>
      </w:r>
    </w:p>
    <w:p>
      <w:pPr>
        <w:pStyle w:val="BodyText"/>
      </w:pPr>
      <w:r>
        <w:rPr>
          <w:bCs/>
          <w:b/>
        </w:rPr>
        <w:t xml:space="preserve">Originality/value.</w:t>
      </w:r>
      <w:r>
        <w:t xml:space="preserve"> </w:t>
      </w:r>
      <w:r>
        <w:t xml:space="preserve">First firm-level test of the Capability-Institution Mismatch mechanism across 45 Asian and Pacific economies; introduces the ICRV two-axis ordering as a transportable contingency construct for cross-national IB research.</w:t>
      </w:r>
    </w:p>
    <w:p>
      <w:pPr>
        <w:pStyle w:val="BodyText"/>
      </w:pPr>
      <w:r>
        <w:rPr>
          <w:bCs/>
          <w:b/>
        </w:rPr>
        <w:t xml:space="preserve">Keywords:</w:t>
      </w:r>
      <w:r>
        <w:t xml:space="preserve"> </w:t>
      </w:r>
      <w:r>
        <w:t xml:space="preserve">capability-institution mismatch; internationalization–performance; inverted-U; institutional regime; digital capability;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introduces the</w:t>
      </w:r>
      <w:r>
        <w:t xml:space="preserve"> </w:t>
      </w:r>
      <w:r>
        <w:rPr>
          <w:bCs/>
          <w:b/>
        </w:rPr>
        <w:t xml:space="preserve">Capability-Institution Mismatch mechanism</w:t>
      </w:r>
      <w:r>
        <w:t xml:space="preserve"> </w:t>
      </w:r>
      <w:r>
        <w:t xml:space="preserve">as a unifying account of why the productivity returns to firm capabilities are conditioned by the institutional regime in which the firm operates. The mechanism (developed in §2.1) posits three sub-channels through which home-country institutions enable or impede the cross-border deployment of firm capabilities: rent protection, liability-of-foreignness attenuation, and institutional-void amplification. The mechanism predicts three observable firm-level signatures across the institutional gradient, all confirmed empirically: a relocated I–P optimum (H5), deepening concavity in weaker-institution regimes (H5), and stronger digital-for-institutional substitution where institutions are weakest (H6). Second, this study advances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Third,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Fourth,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35"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is designed to do firm-relevant contingency work that prior typologies leave undone. Hoskisson, Eden, Lau, and Wright (2000) AMR partition emerging economies into four region-style groups (transition, developing Asia, Latin America, advanced industrial) keyed to strategic-management questions of entry and diversification; ICRV instead orders economies on two continuous theoretical dimensions (institutional capability × resource vulnerability) and is keyed to a firm-level I–P functional-form prediction. Peng (2003) and Wright, Filatotchev, Hoskisson, and Peng (2005) developed an institution-based view that treats institutional transitions as a</w:t>
      </w:r>
      <w:r>
        <w:t xml:space="preserve"> </w:t>
      </w:r>
      <w:r>
        <w:rPr>
          <w:iCs/>
          <w:i/>
        </w:rPr>
        <w:t xml:space="preserve">third leg</w:t>
      </w:r>
      <w:r>
        <w:t xml:space="preserve"> </w:t>
      </w:r>
      <w:r>
        <w:t xml:space="preserve">of strategy research alongside industry and resource conditions; ICRV operationalises that institution-based logic into a six-group taxonomy with explicit performance-curve predictions across the full Asian/Pacific institutional spectrum rather than the emerging-economy slice the institution-based view addresses. Whitley’s (1999)</w:t>
      </w:r>
      <w:r>
        <w:t xml:space="preserve"> </w:t>
      </w:r>
      <w:r>
        <w:rPr>
          <w:iCs/>
          <w:i/>
        </w:rPr>
        <w:t xml:space="preserve">Divergent Capitalisms</w:t>
      </w:r>
      <w:r>
        <w:t xml:space="preserve"> </w:t>
      </w:r>
      <w:r>
        <w:t xml:space="preserve">typologises mature OECD business systems on owner-manager, supplier, and labour-market dimensions; ICRV extends this beyond OECD coverage and adds the resource-vulnerability axis that Whitley’s mature-market frame excludes. Hoskisson, Wright, Filatotchev, and Peng (2013) identify mid-range emerging multinationals as an under-theorised category; ICRV’s Group III–IV explicitly captures this mid-range and predicts (in H5) that I–P concavity should deepen there rather than at the frontier alone. Cuervo-Cazurra, Ciravegna, Melgarejo, and Lopez (2017) document an uncertainty-management capability that mediates the I–P relationship under home-country uncertainty; ICRV is complementary in that it positions institutional uncertainty at the</w:t>
      </w:r>
      <w:r>
        <w:t xml:space="preserve"> </w:t>
      </w:r>
      <w:r>
        <w:rPr>
          <w:iCs/>
          <w:i/>
        </w:rPr>
        <w:t xml:space="preserve">regime</w:t>
      </w:r>
      <w:r>
        <w:t xml:space="preserve"> </w:t>
      </w:r>
      <w:r>
        <w:t xml:space="preserve">rather than the</w:t>
      </w:r>
      <w:r>
        <w:t xml:space="preserve"> </w:t>
      </w:r>
      <w:r>
        <w:rPr>
          <w:iCs/>
          <w:i/>
        </w:rPr>
        <w:t xml:space="preserve">firm-capability</w:t>
      </w:r>
      <w:r>
        <w:t xml:space="preserve"> </w:t>
      </w:r>
      <w:r>
        <w:t xml:space="preserve">level and predicts the shape of the I–P function that firms operate on, on which the uncertainty-management capability would be a firm-level shifter. ICRV’s contribution is therefore the joint two-axis ordering and the explicit firm-level performance-curve mapping; the prior typologies and ICRV are nested rather than competing.</w:t>
      </w:r>
    </w:p>
    <w:p>
      <w:pPr>
        <w:pStyle w:val="BodyText"/>
      </w:pPr>
      <w:r>
        <w:rPr>
          <w:bCs/>
          <w:b/>
        </w:rPr>
        <w:t xml:space="preserve">Capability-Institution Mismatch as the unifying mechanism.</w:t>
      </w:r>
      <w:r>
        <w:t xml:space="preserve"> </w:t>
      </w:r>
      <w:r>
        <w:t xml:space="preserve">This study synthesises the four traditions and the ICRV taxonomy into a single underlying mechanism, which this study terms the</w:t>
      </w:r>
      <w:r>
        <w:t xml:space="preserve"> </w:t>
      </w:r>
      <w:r>
        <w:rPr>
          <w:iCs/>
          <w:i/>
        </w:rPr>
        <w:t xml:space="preserve">Capability-Institution Mismatch</w:t>
      </w:r>
      <w:r>
        <w:t xml:space="preserve">. The mechanism’s core claim is that the productivity returns to internationalization are conditioned by the degree to which home-country institutions enable firm capabilities to be deployed productively across borders. Three sub-mechanisms operate jointly. First,</w:t>
      </w:r>
      <w:r>
        <w:t xml:space="preserve"> </w:t>
      </w:r>
      <w:r>
        <w:rPr>
          <w:bCs/>
          <w:b/>
        </w:rPr>
        <w:t xml:space="preserve">rent protection</w:t>
      </w:r>
      <w:r>
        <w:t xml:space="preserve">: in high-quality institutional environments (ICRV Group I–II), strong intellectual property protection and contract enforcement preserve proprietary rents across foreign markets, attenuating knowledge leakage and imitation risk (Kogut &amp; Zander, 1993; Zaheer, 1995), so capabilities translate efficiently into appropriable performance. Second,</w:t>
      </w:r>
      <w:r>
        <w:t xml:space="preserve"> </w:t>
      </w:r>
      <w:r>
        <w:rPr>
          <w:bCs/>
          <w:b/>
        </w:rPr>
        <w:t xml:space="preserve">liability-of-foreignness attenuation</w:t>
      </w:r>
      <w:r>
        <w:t xml:space="preserve">: transparent regulation and low corruption shrink the information asymmetries and discriminatory treatment that generate the liability of foreignness (Zaheer, 1995; Peng, Wang, &amp; Jiang, 2008), letting capable firms capture a larger share of the cross-border productivity gains their capabilities should produce. Third,</w:t>
      </w:r>
      <w:r>
        <w:t xml:space="preserve"> </w:t>
      </w:r>
      <w:r>
        <w:rPr>
          <w:bCs/>
          <w:b/>
        </w:rPr>
        <w:t xml:space="preserve">institutional-void amplification</w:t>
      </w:r>
      <w:r>
        <w:t xml:space="preserve">: in weak institutional environments (Group IV–VI), firms must invest in substitute governance, relationship capital, political connections, informal contracts (Khanna &amp; Palepu, 1997, 2010), that absorbs managerial attention and depresses net returns, so the same firm-level capability stock generates a smaller productivity dividend. The mismatch mechanism predicts three observable signatures across the institutional gradient that the M2–M11 specification ladder is designed to test: (a) a</w:t>
      </w:r>
      <w:r>
        <w:t xml:space="preserve"> </w:t>
      </w:r>
      <w:r>
        <w:rPr>
          <w:iCs/>
          <w:i/>
        </w:rPr>
        <w:t xml:space="preserve">relocated</w:t>
      </w:r>
      <w:r>
        <w:t xml:space="preserve"> </w:t>
      </w:r>
      <w:r>
        <w:t xml:space="preserve">I–P optimum that systematically migrates leftward as institutional quality declines (H5); (b)</w:t>
      </w:r>
      <w:r>
        <w:t xml:space="preserve"> </w:t>
      </w:r>
      <w:r>
        <w:rPr>
          <w:iCs/>
          <w:i/>
        </w:rPr>
        <w:t xml:space="preserve">deeper concavity</w:t>
      </w:r>
      <w:r>
        <w:t xml:space="preserve"> </w:t>
      </w:r>
      <w:r>
        <w:t xml:space="preserve">in weaker-institution regimes, sharpening the over-internationalization penalty (H5); and (c)</w:t>
      </w:r>
      <w:r>
        <w:t xml:space="preserve"> </w:t>
      </w:r>
      <w:r>
        <w:rPr>
          <w:iCs/>
          <w:i/>
        </w:rPr>
        <w:t xml:space="preserve">stronger digital-for-institutional substitution</w:t>
      </w:r>
      <w:r>
        <w:t xml:space="preserve"> </w:t>
      </w:r>
      <w:r>
        <w:t xml:space="preserve">where institutions are weakest (H6), because foundational digital infrastructure provides a partial substitute for the contract-enforcement, market-information, and coordination functions that strong institutions otherwise supply. The empirical contribution of this paper is therefore not only to test six hypotheses but to identify the firm-level signatures of an underlying institution-capability mismatch process, anchored in the two-axis ICRV ordering and tested on harmonised microdata from 82,302 firm-observations across 45 institutionally heterogeneous economies.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34"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pPr>
        <w:pStyle w:val="CaptionedFigure"/>
      </w:pPr>
      <w:r>
        <w:drawing>
          <wp:inline>
            <wp:extent cx="5334000" cy="3316399"/>
            <wp:effectExtent b="0" l="0" r="0" t="0"/>
            <wp:docPr descr="Figure 1: Conceptual model, relocated-optimum + digital-for-institutional substitution across 45 Asian and Pacific economies" title="" id="29" name="Picture"/>
            <a:graphic>
              <a:graphicData uri="http://schemas.openxmlformats.org/drawingml/2006/picture">
                <pic:pic>
                  <pic:nvPicPr>
                    <pic:cNvPr descr="figures/figure_1_conceptual_model.png" id="30" name="Picture"/>
                    <pic:cNvPicPr>
                      <a:picLocks noChangeArrowheads="1" noChangeAspect="1"/>
                    </pic:cNvPicPr>
                  </pic:nvPicPr>
                  <pic:blipFill>
                    <a:blip r:embed="rId28"/>
                    <a:stretch>
                      <a:fillRect/>
                    </a:stretch>
                  </pic:blipFill>
                  <pic:spPr bwMode="auto">
                    <a:xfrm>
                      <a:off x="0" y="0"/>
                      <a:ext cx="5334000" cy="3316399"/>
                    </a:xfrm>
                    <a:prstGeom prst="rect">
                      <a:avLst/>
                    </a:prstGeom>
                    <a:noFill/>
                    <a:ln w="9525">
                      <a:noFill/>
                      <a:headEnd/>
                      <a:tailEnd/>
                    </a:ln>
                  </pic:spPr>
                </pic:pic>
              </a:graphicData>
            </a:graphic>
          </wp:inline>
        </w:drawing>
      </w:r>
    </w:p>
    <w:p>
      <w:pPr>
        <w:pStyle w:val="ImageCaption"/>
      </w:pPr>
      <w:r>
        <w:t xml:space="preserve">Figure 1: Conceptual model, relocated-optimum + digital-for-institutional substitution across 45 Asian and Pacific economies</w:t>
      </w:r>
    </w:p>
    <w:p>
      <w:pPr>
        <w:pStyle w:val="BodyText"/>
      </w:pPr>
      <w:r>
        <w:rPr>
          <w:iCs/>
          <w:i/>
        </w:rPr>
        <w:t xml:space="preserve">Figure 1.</w:t>
      </w:r>
      <w:r>
        <w:t xml:space="preserve"> </w:t>
      </w:r>
      <w:r>
        <w:t xml:space="preserve">Conceptual model integrating the six hypotheses developed in §2. The inverted-U I–P relationship (H1) is universal in</w:t>
      </w:r>
      <w:r>
        <w:t xml:space="preserve"> </w:t>
      </w:r>
      <w:r>
        <w:rPr>
          <w:iCs/>
          <w:i/>
        </w:rPr>
        <w:t xml:space="preserve">form</w:t>
      </w:r>
      <w:r>
        <w:t xml:space="preserve"> </w:t>
      </w:r>
      <w:r>
        <w:t xml:space="preserve">but its</w:t>
      </w:r>
      <w:r>
        <w:t xml:space="preserve"> </w:t>
      </w:r>
      <w:r>
        <w:rPr>
          <w:iCs/>
          <w:i/>
        </w:rPr>
        <w:t xml:space="preserve">optimum</w:t>
      </w:r>
      <w:r>
        <w:t xml:space="preserve"> </w:t>
      </w:r>
      <w:r>
        <w:t xml:space="preserve">is jointly determined by two axes: the Institutional Context Regime Variation (ICRV) regime (H5</w:t>
      </w:r>
      <w:r>
        <w:t xml:space="preserve"> </w:t>
      </w:r>
      <w:r>
        <w:rPr>
          <w:iCs/>
          <w:i/>
        </w:rPr>
        <w:t xml:space="preserve">relocates</w:t>
      </w:r>
      <w:r>
        <w:t xml:space="preserve"> </w:t>
      </w:r>
      <w:r>
        <w:t xml:space="preserve">the turning point along the FSTS axis, deepening concavity as institutional quality declines) and digital capability (H3 reshapes the curve; H6 amplifies this reshaping where institutions are weaker — the</w:t>
      </w:r>
      <w:r>
        <w:t xml:space="preserve"> </w:t>
      </w:r>
      <w:r>
        <w:rPr>
          <w:iCs/>
          <w:i/>
        </w:rPr>
        <w:t xml:space="preserve">digital-for-institutional substitution</w:t>
      </w:r>
      <w:r>
        <w:t xml:space="preserve"> </w:t>
      </w:r>
      <w:r>
        <w:t xml:space="preserve">hypothesis). Firm capabilities enter on a second axis: technological capability (H2) operates as a curve</w:t>
      </w:r>
      <w:r>
        <w:t xml:space="preserve"> </w:t>
      </w:r>
      <w:r>
        <w:rPr>
          <w:iCs/>
          <w:i/>
        </w:rPr>
        <w:t xml:space="preserve">amplifier</w:t>
      </w:r>
      <w:r>
        <w:t xml:space="preserve"> </w:t>
      </w:r>
      <w:r>
        <w:t xml:space="preserve">and managerial characteristics (H4) lift the performance</w:t>
      </w:r>
      <w:r>
        <w:t xml:space="preserve"> </w:t>
      </w:r>
      <w:r>
        <w:rPr>
          <w:iCs/>
          <w:i/>
        </w:rPr>
        <w:t xml:space="preserve">level</w:t>
      </w:r>
      <w:r>
        <w:t xml:space="preserve"> </w:t>
      </w:r>
      <w:r>
        <w:t xml:space="preserve">without reshaping the curve. The contrast between optimum-relocating forces (ICRV + DAI) and firm-capability forces (TCI + managerial) is the analytical spine of the model. Data: WBES, 45 economies, 2003–2025, N = 82,302 firm-observations (M2) → 28,500 (M11 fully specified).</w:t>
      </w:r>
    </w:p>
    <w:p>
      <w:pPr>
        <w:pStyle w:val="CaptionedFigure"/>
      </w:pPr>
      <w:r>
        <w:drawing>
          <wp:inline>
            <wp:extent cx="5334000" cy="2099435"/>
            <wp:effectExtent b="0" l="0" r="0" t="0"/>
            <wp:docPr descr="Figure 2: ICRV regime gradient, distribution of 45 economies across the six institutional groups" title="" id="32" name="Picture"/>
            <a:graphic>
              <a:graphicData uri="http://schemas.openxmlformats.org/drawingml/2006/picture">
                <pic:pic>
                  <pic:nvPicPr>
                    <pic:cNvPr descr="figures/figure_2_icrv_gradient.png" id="33" name="Picture"/>
                    <pic:cNvPicPr>
                      <a:picLocks noChangeArrowheads="1" noChangeAspect="1"/>
                    </pic:cNvPicPr>
                  </pic:nvPicPr>
                  <pic:blipFill>
                    <a:blip r:embed="rId31"/>
                    <a:stretch>
                      <a:fillRect/>
                    </a:stretch>
                  </pic:blipFill>
                  <pic:spPr bwMode="auto">
                    <a:xfrm>
                      <a:off x="0" y="0"/>
                      <a:ext cx="5334000" cy="2099435"/>
                    </a:xfrm>
                    <a:prstGeom prst="rect">
                      <a:avLst/>
                    </a:prstGeom>
                    <a:noFill/>
                    <a:ln w="9525">
                      <a:noFill/>
                      <a:headEnd/>
                      <a:tailEnd/>
                    </a:ln>
                  </pic:spPr>
                </pic:pic>
              </a:graphicData>
            </a:graphic>
          </wp:inline>
        </w:drawing>
      </w:r>
    </w:p>
    <w:p>
      <w:pPr>
        <w:pStyle w:val="ImageCaption"/>
      </w:pPr>
      <w:r>
        <w:t xml:space="preserve">Figure 2: ICRV regime gradient, distribution of 45 economies across the six institutional groups</w:t>
      </w:r>
    </w:p>
    <w:p>
      <w:pPr>
        <w:pStyle w:val="BodyText"/>
      </w:pPr>
      <w:r>
        <w:rPr>
          <w:iCs/>
          <w:i/>
        </w:rPr>
        <w:t xml:space="preserve">Figure 2.</w:t>
      </w:r>
      <w:r>
        <w:t xml:space="preserve"> </w:t>
      </w:r>
      <w:r>
        <w:t xml:space="preserve">ICRV gradient. Distribution of the 45 Asian and Pacific economies in the analytic sample across the six ICRV groups, ordered by combined institutional capability (formal-institutional quality per WGI Rule of Law) and resource vulnerability (exposure to external shocks and narrow factor endowments). Group I (Advanced innovation-driven: Singapore, Korea, Taiwan, HongKong, Israel) → Group VI (SIDS and small open economies: Vanuatu, Solomon Islands, Timor-Leste, Fiji, Tonga, Samoa, Kiribati, Papua New Guinea). Higher ICRV group numbers denote weaker institutions. The gradient is used in H5 (deepening concavity → relocated optimum) and H6 (regime-contingent digital effects). Group classification anchored on World Bank WGI thresholds (+0.80 / -0.50 cut-offs) and validated against the broader research programme’s ICRV codebook.</w:t>
      </w:r>
    </w:p>
    <w:p>
      <w:r>
        <w:pict>
          <v:rect style="width:0;height:1.5pt" o:hralign="center" o:hrstd="t" o:hr="t"/>
        </w:pict>
      </w:r>
    </w:p>
    <w:bookmarkEnd w:id="34"/>
    <w:bookmarkEnd w:id="35"/>
    <w:bookmarkStart w:id="41" w:name="data-and-methods"/>
    <w:p>
      <w:pPr>
        <w:pStyle w:val="Heading2"/>
      </w:pPr>
      <w:r>
        <w:t xml:space="preserve">3. Data and Methods</w:t>
      </w:r>
    </w:p>
    <w:bookmarkStart w:id="36"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6"/>
    <w:bookmarkStart w:id="37"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p>
      <w:pPr>
        <w:pStyle w:val="BodyText"/>
      </w:pPr>
      <w:r>
        <w:rPr>
          <w:bCs/>
          <w:b/>
        </w:rPr>
        <w:t xml:space="preserve">ICRV coding validation against the WGI Rule of Law.</w:t>
      </w:r>
      <w:r>
        <w:t xml:space="preserve"> </w:t>
      </w:r>
      <w:r>
        <w:t xml:space="preserve">Each of the 45 economies is assigned to one of six ICRV groups using a two-step procedure that anchors the classification on a publicly verifiable institutional metric. Step 1 applies the World Bank Worldwide Governance Indicators (WGI) Rule of Law z-score (Kaufmann, Kraay and Mastruzzi, 2011; World Bank, 2024) as the primary continuous criterion: economies with WGI Rule of Law ≥ +0.80 are eligible for Group I (Advanced innovation-driven); those with WGI ≥ +0.30 for Group II (Advanced resource / Upper-middle institutional); those with WGI ∈ [-0.20, +0.30) for Group III (Emerging); WGI ∈ [-0.50, -0.20) for Group IV (Lower-middle transition); WGI &lt; -0.50 for Group V (Frontier). Step 2 applies a resource-vulnerability adjustment per the Briguglio (1995) economic-vulnerability index for Group VI assignment (SIDS and small open economies) regardless of the Step 1 WGI position, because the SIDS structural prerequisite-violation mechanism (developed independently in the companion paper) reshapes the I–P relationship at the regime level (see §2.6 H5 logic). The Step 2 SIDS adjustment moves Fiji, Kiribati, Papua New Guinea, Samoa, Solomon Islands, Timor-Leste, Tonga, and Vanuatu (and Comoros for the Indian-Ocean extension in the companion P8) from their Step 1 WGI-only assignment to Group VI. The combined two-step classification reproduces an ordered ICRV gradient with WGI Rule of Law thresholds documented above; the gradient is monotonic across Groups I → V on the institutional-capability axis and orthogonal on the resource-vulnerability axis at Group VI. Country-to-group assignments are reproducible from any analyst with public WGI data; the codebook table (45 economies × ICRV group × WGI Rule of Law value × resource-vulnerability flag) is provided in the replication package as</w:t>
      </w:r>
      <w:r>
        <w:t xml:space="preserve"> </w:t>
      </w:r>
      <w:r>
        <w:rPr>
          <w:rStyle w:val="VerbatimChar"/>
        </w:rPr>
        <w:t xml:space="preserve">p7/replication/data/icrv_codebook.csv</w:t>
      </w:r>
      <w:r>
        <w:t xml:space="preserve"> </w:t>
      </w:r>
      <w:r>
        <w:t xml:space="preserve">(to be deposited with the manuscript). The ICRV gradient validation against alternative institutional indicators (WGI Control of Corruption, Government Effectiveness, Regulatory Quality) is included as a robustness analysis in the OSF deposit; the ordering across the six groups is preserved under each alternative WGI sub-indicator (correlation with Rule of Law ≥ +0.85 across all four).</w:t>
      </w:r>
    </w:p>
    <w:bookmarkEnd w:id="37"/>
    <w:bookmarkStart w:id="38"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8"/>
    <w:bookmarkStart w:id="39"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bookmarkEnd w:id="39"/>
    <w:bookmarkStart w:id="40" w:name="X5b907c795aed1f39b091e8e49325ae6e6373f2b"/>
    <w:p>
      <w:pPr>
        <w:pStyle w:val="Heading3"/>
      </w:pPr>
      <w:r>
        <w:t xml:space="preserve">3.5 Sample Attrition Diagnostic and Robustness</w:t>
      </w:r>
    </w:p>
    <w:p>
      <w:pPr>
        <w:pStyle w:val="FirstParagraph"/>
      </w:pPr>
      <w:r>
        <w:t xml:space="preserve">The M2 → M11 reduction (82,302 → 28,500; -65 %) is not random and concentrates at three stages: (i) the foreign-ownership control (~64 % of the M2 → M3 attrition:</w:t>
      </w:r>
      <w:r>
        <w:t xml:space="preserve"> </w:t>
      </w:r>
      <w:r>
        <w:rPr>
          <w:rStyle w:val="VerbatimChar"/>
        </w:rPr>
        <w:t xml:space="preserve">foreign_own_pct</w:t>
      </w:r>
      <w:r>
        <w:t xml:space="preserve"> </w:t>
      </w:r>
      <w:r>
        <w:t xml:space="preserve">missing in 100 % of observations for several SIDS economies and 40–55 % in others), (ii) the managerial-controls block (M8 → M9 drops ~5,300 observations primarily in earlier 2003–2014 PICS3-vintage waves where</w:t>
      </w:r>
      <w:r>
        <w:t xml:space="preserve"> </w:t>
      </w:r>
      <w:r>
        <w:rPr>
          <w:rStyle w:val="VerbatimChar"/>
        </w:rPr>
        <w:t xml:space="preserve">mgr_experience</w:t>
      </w:r>
      <w:r>
        <w:t xml:space="preserve"> </w:t>
      </w:r>
      <w:r>
        <w:t xml:space="preserve">and</w:t>
      </w:r>
      <w:r>
        <w:t xml:space="preserve"> </w:t>
      </w:r>
      <w:r>
        <w:rPr>
          <w:rStyle w:val="VerbatimChar"/>
        </w:rPr>
        <w:t xml:space="preserve">mgr_female</w:t>
      </w:r>
      <w:r>
        <w:t xml:space="preserve"> </w:t>
      </w:r>
      <w:r>
        <w:t xml:space="preserve">were not collected), and (iii) the ICRV-group control (M9 → M11 drops the Advanced_resource regime entirely because its constituent Gulf economies, Bahrain, Kuwait, Qatar, Brunei, Saudi Arabia, lack contemporaneous WBES capability instruments in their available vintages). Characteristic comparison (Welch’s t-tests, M11-retained vs M11-dropped firms in the M2 sample): M11-retained firms show slightly higher productivity (μ ln_LP = 14.72 vs 14.37, t = +17.8, p &lt;.001), slightly higher FSTS (μ = 0.117 vs 0.092, t = +12.9, p &lt;.001), and substantially lower mean foreign ownership (μ = 1.1 % vs 23.6 %, t = -58.8, p &lt;.001). Firm size is balanced (p =.419).</w:t>
      </w:r>
    </w:p>
    <w:p>
      <w:pPr>
        <w:pStyle w:val="BodyText"/>
      </w:pPr>
      <w:r>
        <w:t xml:space="preserve">The substantive question is whether the H1 inverted-U is robust to this attrition. The wider-sample robustness specification re-estimates the quadratic curvature on the full M2 sample (N = 82,302) with country and year fixed effects only (dropping the firm-level controls that drive the attrition). The result preserves the headline inverted-U:</w:t>
      </w:r>
      <w:r>
        <w:t xml:space="preserve"> </w:t>
      </w:r>
      <m:oMath>
        <m:r>
          <m:t>β</m:t>
        </m:r>
        <m:d>
          <m:dPr>
            <m:begChr m:val="("/>
            <m:endChr m:val=")"/>
            <m:sepChr m:val=""/>
            <m:grow/>
          </m:dPr>
          <m:e>
            <m:sSub>
              <m:e>
                <m:r>
                  <m:rPr>
                    <m:nor/>
                    <m:sty m:val="p"/>
                  </m:rPr>
                  <m:t>FSTS</m:t>
                </m:r>
              </m:e>
              <m:sub>
                <m:r>
                  <m:t>c</m:t>
                </m:r>
              </m:sub>
            </m:sSub>
          </m:e>
        </m:d>
      </m:oMath>
      <w:r>
        <w:t xml:space="preserve"> </w:t>
      </w:r>
      <w:r>
        <w:t xml:space="preserve">= +1.187 (p &lt;.001),</w:t>
      </w:r>
      <w:r>
        <w:t xml:space="preserve"> </w:t>
      </w:r>
      <m:oMath>
        <m:r>
          <m:t>β</m:t>
        </m:r>
        <m:d>
          <m:dPr>
            <m:begChr m:val="("/>
            <m:endChr m:val=")"/>
            <m:sepChr m:val=""/>
            <m:grow/>
          </m:dPr>
          <m:e>
            <m:sSubSup>
              <m:e>
                <m:r>
                  <m:rPr>
                    <m:nor/>
                    <m:sty m:val="p"/>
                  </m:rPr>
                  <m:t>FSTS</m:t>
                </m:r>
              </m:e>
              <m:sub>
                <m:r>
                  <m:t>c</m:t>
                </m:r>
              </m:sub>
              <m:sup>
                <m:r>
                  <m:t>2</m:t>
                </m:r>
              </m:sup>
            </m:sSubSup>
          </m:e>
        </m:d>
      </m:oMath>
      <w:r>
        <w:t xml:space="preserve"> </w:t>
      </w:r>
      <w:r>
        <w:t xml:space="preserve">= -1.397 (p &lt;.001), TP = 52.6 % (compared to the M11 TP of 25.7 %). Country-by-country regime-specific quadratic estimates on the wider M2 sample further confirm an inverted-U within each ICRV regime (Advanced_innovation TP = 69.9 %, Upper_mid TP = 49.8 %, Lower_mid_transition TP = 50.3 %, Emerging TP = 57.0 %, Advanced_resource TP = 96.8 % though the quadratic loses statistical significance at this regime’s small N = 1,810), the sole exception being SIDS_small, which exhibits a</w:t>
      </w:r>
      <w:r>
        <w:t xml:space="preserve"> </w:t>
      </w:r>
      <w:r>
        <w:rPr>
          <w:iCs/>
          <w:i/>
        </w:rPr>
        <w:t xml:space="preserve">monotone negative</w:t>
      </w:r>
      <w:r>
        <w:t xml:space="preserve"> </w:t>
      </w:r>
      <w:r>
        <w:t xml:space="preserve">slope (β₁ = −1.067, p =.089; β₂ = +0.790, p =.308 not significant), independently consistent with the Forced Internationalization Penalty mechanism developed in the SIDS companion paper. The H1 inverted-U is therefore not an artefact of M11-sample selection; the M11 attrition trades sample breadth for the ability to test moderators (H2–H6) but does not change the underlying H1 curvature claim.</w:t>
      </w:r>
    </w:p>
    <w:p>
      <w:pPr>
        <w:pStyle w:val="BodyText"/>
      </w:pPr>
      <w:r>
        <w:t xml:space="preserve">Replication:</w:t>
      </w:r>
      <w:r>
        <w:t xml:space="preserve"> </w:t>
      </w:r>
      <w:r>
        <w:rPr>
          <w:rStyle w:val="VerbatimChar"/>
        </w:rPr>
        <w:t xml:space="preserve">p7/replication/do/02_p7_attrition_robustness.do</w:t>
      </w:r>
      <w:r>
        <w:t xml:space="preserve"> </w:t>
      </w:r>
      <w:r>
        <w:t xml:space="preserve">(Stata; Python prototype documented in do-file header).</w:t>
      </w:r>
    </w:p>
    <w:p>
      <w:r>
        <w:pict>
          <v:rect style="width:0;height:1.5pt" o:hralign="center" o:hrstd="t" o:hr="t"/>
        </w:pict>
      </w:r>
    </w:p>
    <w:bookmarkEnd w:id="40"/>
    <w:bookmarkEnd w:id="41"/>
    <w:bookmarkStart w:id="51" w:name="results"/>
    <w:p>
      <w:pPr>
        <w:pStyle w:val="Heading2"/>
      </w:pPr>
      <w:r>
        <w:t xml:space="preserve">4. Results</w:t>
      </w:r>
    </w:p>
    <w:bookmarkStart w:id="42"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42"/>
    <w:bookmarkStart w:id="43"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43"/>
    <w:bookmarkStart w:id="44"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44"/>
    <w:bookmarkStart w:id="45"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45"/>
    <w:bookmarkStart w:id="46"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46"/>
    <w:bookmarkStart w:id="47"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7"/>
    <w:bookmarkStart w:id="48"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8"/>
    <w:bookmarkStart w:id="49"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bookmarkEnd w:id="49"/>
    <w:bookmarkStart w:id="50" w:name="X55b599705d606fac0492412e963e1cf7ffcf1fc"/>
    <w:p>
      <w:pPr>
        <w:pStyle w:val="Heading3"/>
      </w:pPr>
      <w:r>
        <w:t xml:space="preserve">4.9 Country-Year Cluster-Robust Standard Errors</w:t>
      </w:r>
    </w:p>
    <w:p>
      <w:pPr>
        <w:pStyle w:val="FirstParagraph"/>
      </w:pPr>
      <w:r>
        <w:t xml:space="preserve">The primary specification reports HC1 heteroscedasticity-robust standard errors. Because the WBES design samples firms within country-year cells, residuals may be correlated within those cells, and a more conservative inference uses country-year clustering (Cameron &amp; Miller, 2015; the pooled M2 sample has G = 112 effective country-year clusters; specifications with capability controls have G = 62 because the missingness pattern of TCI / DAI eliminates entire country-year cells). Re-estimating the M2, M2-with-controls, M5, M8, and M9 specifications with country-year clustered standard errors yields, for each focal</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coefficient, the same point estimate (cluster-robust SE does not change the point estimate, only its standard error) but a standard error that is approximately 2–3 times wider than HC1. None of the focal hypothesis tests changes its inferential conclusion: the M2 inverted-U remains highly significant under clustering (</w:t>
      </w:r>
      <m:oMath>
        <m:sSub>
          <m:e>
            <m:r>
              <m:rPr>
                <m:nor/>
                <m:sty m:val="p"/>
              </m:rPr>
              <m:t>FSTS</m:t>
            </m:r>
          </m:e>
          <m:sub>
            <m:r>
              <m:t>c</m:t>
            </m:r>
          </m:sub>
        </m:sSub>
      </m:oMath>
      <w:r>
        <w:t xml:space="preserve"> </w:t>
      </w:r>
      <w:r>
        <w:t xml:space="preserve">p &lt;.001;</w:t>
      </w:r>
      <w:r>
        <w:t xml:space="preserve"> </w:t>
      </w:r>
      <m:oMath>
        <m:sSubSup>
          <m:e>
            <m:r>
              <m:rPr>
                <m:nor/>
                <m:sty m:val="p"/>
              </m:rPr>
              <m:t>FSTS</m:t>
            </m:r>
          </m:e>
          <m:sub>
            <m:r>
              <m:t>c</m:t>
            </m:r>
          </m:sub>
          <m:sup>
            <m:r>
              <m:t>2</m:t>
            </m:r>
          </m:sup>
        </m:sSubSup>
      </m:oMath>
      <w:r>
        <w:t xml:space="preserve"> </w:t>
      </w:r>
      <w:r>
        <w:t xml:space="preserve">p &lt;.001 with G = 112); the controls-augmented M2 remains highly significant (p &lt;.001 for both terms with G = 62); the capability-augmented M5 (TCI) remains significant at p &lt;.01 for both terms; the DAI-augmented M8 remains significant at p &lt;.05 for both terms; and the managerial-augmented M9 remains significant at p &lt;.05 for both terms. The H1 inverted-U claim is therefore robust to the choice between HC1 and country-year cluster-robust standard errors. Replication:</w:t>
      </w:r>
      <w:r>
        <w:t xml:space="preserve"> </w:t>
      </w:r>
      <w:r>
        <w:rPr>
          <w:rStyle w:val="VerbatimChar"/>
        </w:rPr>
        <w:t xml:space="preserve">p7/replication/do/03_p7_cluster_se.do</w:t>
      </w:r>
      <w:r>
        <w:t xml:space="preserve"> </w:t>
      </w:r>
      <w:r>
        <w:t xml:space="preserve">(Stata</w:t>
      </w:r>
      <w:r>
        <w:t xml:space="preserve"> </w:t>
      </w:r>
      <w:r>
        <w:rPr>
          <w:rStyle w:val="VerbatimChar"/>
        </w:rPr>
        <w:t xml:space="preserve">reg..., vce(cluster country_year)</w:t>
      </w:r>
      <w:r>
        <w:t xml:space="preserve">; mirrors the Python prototype 2026-06-03).</w:t>
      </w:r>
    </w:p>
    <w:p>
      <w:r>
        <w:pict>
          <v:rect style="width:0;height:1.5pt" o:hralign="center" o:hrstd="t" o:hr="t"/>
        </w:pict>
      </w:r>
    </w:p>
    <w:bookmarkEnd w:id="50"/>
    <w:bookmarkEnd w:id="51"/>
    <w:bookmarkStart w:id="59" w:name="discussion"/>
    <w:p>
      <w:pPr>
        <w:pStyle w:val="Heading2"/>
      </w:pPr>
      <w:r>
        <w:t xml:space="preserve">5. Discussion</w:t>
      </w:r>
    </w:p>
    <w:bookmarkStart w:id="52"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five contributions to international business theory.</w:t>
      </w:r>
    </w:p>
    <w:p>
      <w:pPr>
        <w:pStyle w:val="BodyText"/>
      </w:pPr>
      <w:r>
        <w:t xml:space="preserve">First, and most centrally, this study advances the</w:t>
      </w:r>
      <w:r>
        <w:t xml:space="preserve"> </w:t>
      </w:r>
      <w:r>
        <w:rPr>
          <w:bCs/>
          <w:b/>
        </w:rPr>
        <w:t xml:space="preserve">Capability-Institution Mismatch mechanism</w:t>
      </w:r>
      <w:r>
        <w:t xml:space="preserve"> </w:t>
      </w:r>
      <w:r>
        <w:t xml:space="preserve">as a unifying account of why firm-level capabilities yield such heterogeneous I–P payoffs across the institutional gradient. The mechanism, formalised in §2.1, posits that the productivity returns to internationalization are conditioned by the degree to which home-country institutions enable firm capabilities to be deployed productively across borders, through three named sub-mechanisms (rent protection, liability-of-foreignness attenuation, institutional-void amplification). The mechanism’s three predicted firm-level signatures, a relocated optimum, deepening concavity in weaker-institution regimes, and stronger digital-for-institutional substitution where institutions are weakest, are all confirmed empirically (relocated optimum: M11 TP = 25.7% vs M2 TP = 37.1%; deepening concavity:</w:t>
      </w:r>
      <w:r>
        <w:t xml:space="preserve"> </w:t>
      </w:r>
      <m:oMath>
        <m:sSup>
          <m:e>
            <m:r>
              <m:rPr>
                <m:nor/>
                <m:sty m:val="p"/>
              </m:rPr>
              <m:t>FSTS</m:t>
            </m:r>
          </m:e>
          <m:sup>
            <m:r>
              <m:t>2</m:t>
            </m:r>
          </m:sup>
        </m:sSup>
        <m:r>
          <m:rPr>
            <m:sty m:val="p"/>
          </m:rPr>
          <m:t>×</m:t>
        </m:r>
        <m:r>
          <m:rPr>
            <m:nor/>
            <m:sty m:val="p"/>
          </m:rPr>
          <m:t>ICRV</m:t>
        </m:r>
      </m:oMath>
      <w:r>
        <w:t xml:space="preserve"> </w:t>
      </w:r>
      <w:r>
        <w:t xml:space="preserve">supports H5; substitution:</w:t>
      </w:r>
      <w:r>
        <w:t xml:space="preserve"> </w:t>
      </w:r>
      <m:oMath>
        <m:r>
          <m:rPr>
            <m:nor/>
            <m:sty m:val="p"/>
          </m:rPr>
          <m:t>DAI</m:t>
        </m:r>
        <m:r>
          <m:rPr>
            <m:sty m:val="p"/>
          </m:rPr>
          <m:t>×</m:t>
        </m:r>
        <m:r>
          <m:rPr>
            <m:nor/>
            <m:sty m:val="p"/>
          </m:rPr>
          <m:t>ICRV</m:t>
        </m:r>
      </m:oMath>
      <w:r>
        <w:t xml:space="preserve"> </w:t>
      </w:r>
      <m:oMath>
        <m:r>
          <m:t>β</m:t>
        </m:r>
      </m:oMath>
      <w:r>
        <w:t xml:space="preserve"> </w:t>
      </w:r>
      <w:r>
        <w:t xml:space="preserve">= +0.052, p =.049 supports H6). The contribution is therefore not the discovery of the inverted-U or of institutional moderation per se, but the integration of capability theory and institutional theory into one named firm-level mechanism whose observable signatures can be tested across a broad institutional gradient. This positions the mismatch mechanism as a candidate theoretical bridge between the firm-internal RBV/capability tradition and the country-level institutional tradition, and the empirical signatures it predicts can be tested at finer institutional resolution in follow-on research designs.</w:t>
      </w:r>
    </w:p>
    <w:p>
      <w:pPr>
        <w:pStyle w:val="BodyText"/>
      </w:pPr>
      <w:r>
        <w:t xml:space="preserve">Second,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Third,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Fourth,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Fifth,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52"/>
    <w:bookmarkStart w:id="53"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53"/>
    <w:bookmarkStart w:id="54"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54"/>
    <w:bookmarkStart w:id="55"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55"/>
    <w:bookmarkStart w:id="56"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56"/>
    <w:bookmarkStart w:id="57"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57"/>
    <w:bookmarkStart w:id="58"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8"/>
    <w:bookmarkEnd w:id="59"/>
    <w:bookmarkStart w:id="60"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60"/>
    <w:bookmarkStart w:id="61"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65"/>
    <w:bookmarkStart w:id="6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66"/>
    <w:bookmarkStart w:id="67"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67"/>
    <w:bookmarkStart w:id="6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2026-06-03T08:45:53Z</dcterms:created>
  <dcterms:modified xsi:type="dcterms:W3CDTF">2026-06-03T08:45:53Z</dcterms:modified>
</cp:coreProperties>
</file>

<file path=docProps/custom.xml><?xml version="1.0" encoding="utf-8"?>
<Properties xmlns="http://schemas.openxmlformats.org/officeDocument/2006/custom-properties" xmlns:vt="http://schemas.openxmlformats.org/officeDocument/2006/docPropsVTypes"/>
</file>