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fense-qa-preparation-document"/>
    <w:p>
      <w:pPr>
        <w:pStyle w:val="Heading1"/>
      </w:pPr>
      <w:r>
        <w:t xml:space="preserve">Defense Q&amp;A Preparation Document</w:t>
      </w:r>
    </w:p>
    <w:p>
      <w:pPr>
        <w:pStyle w:val="FirstParagraph"/>
      </w:pPr>
      <w:r>
        <w:rPr>
          <w:bCs/>
          <w:b/>
        </w:rPr>
        <w:t xml:space="preserve">Candidate:</w:t>
      </w:r>
      <w:r>
        <w:t xml:space="preserve"> </w:t>
      </w:r>
      <w:r>
        <w:t xml:space="preserve">Đỗ Thị Thúy Hương (Do Thi Thuy Huong)</w:t>
      </w:r>
      <w:r>
        <w:t xml:space="preserve"> </w:t>
      </w:r>
      <w:r>
        <w:rPr>
          <w:bCs/>
          <w:b/>
        </w:rPr>
        <w:t xml:space="preserve">Supervisor:</w:t>
      </w:r>
      <w:r>
        <w:t xml:space="preserve"> </w:t>
      </w:r>
      <w:r>
        <w:t xml:space="preserve">PGS.TS. Phan Anh Tú</w:t>
      </w:r>
      <w:r>
        <w:t xml:space="preserve"> </w:t>
      </w:r>
      <w:r>
        <w:rPr>
          <w:bCs/>
          <w:b/>
        </w:rPr>
        <w:t xml:space="preserve">Institution:</w:t>
      </w:r>
      <w:r>
        <w:t xml:space="preserve"> </w:t>
      </w:r>
      <w:r>
        <w:t xml:space="preserve">College of Economics, Can Tho University (CTU)</w:t>
      </w:r>
      <w:r>
        <w:t xml:space="preserve"> </w:t>
      </w:r>
      <w:r>
        <w:rPr>
          <w:bCs/>
          <w:b/>
        </w:rPr>
        <w:t xml:space="preserve">Defense window:</w:t>
      </w:r>
      <w:r>
        <w:t xml:space="preserve"> </w:t>
      </w:r>
      <w:r>
        <w:t xml:space="preserve">Q3-Q4 2026</w:t>
      </w:r>
      <w:r>
        <w:t xml:space="preserve"> </w:t>
      </w:r>
      <w:r>
        <w:rPr>
          <w:bCs/>
          <w:b/>
        </w:rPr>
        <w:t xml:space="preserve">Document purpose:</w:t>
      </w:r>
      <w:r>
        <w:t xml:space="preserve"> </w:t>
      </w:r>
      <w:r>
        <w:t xml:space="preserve">Anticipated examiner questions with prepared responses. To be rehearsed before defense and refined based on supervisor feedback. Internal preparation document; not for committee distribution.</w:t>
      </w:r>
    </w:p>
    <w:p>
      <w:r>
        <w:pict>
          <v:rect style="width:0;height:1.5pt" o:hralign="center" o:hrstd="t" o:hr="t"/>
        </w:pict>
      </w:r>
    </w:p>
    <w:bookmarkStart w:id="20" w:name="how-to-use-this-document"/>
    <w:p>
      <w:pPr>
        <w:pStyle w:val="Heading2"/>
      </w:pPr>
      <w:r>
        <w:t xml:space="preserve">How to use this document</w:t>
      </w:r>
    </w:p>
    <w:p>
      <w:pPr>
        <w:pStyle w:val="FirstParagraph"/>
      </w:pPr>
      <w:r>
        <w:t xml:space="preserve">Each question below carries:</w:t>
      </w:r>
      <w:r>
        <w:t xml:space="preserve"> </w:t>
      </w:r>
      <w:r>
        <w:t xml:space="preserve">-</w:t>
      </w:r>
      <w:r>
        <w:t xml:space="preserve"> </w:t>
      </w:r>
      <w:r>
        <w:rPr>
          <w:bCs/>
          <w:b/>
        </w:rPr>
        <w:t xml:space="preserve">Question (Vietnamese / English)</w:t>
      </w:r>
      <w:r>
        <w:t xml:space="preserve"> </w:t>
      </w:r>
      <w:r>
        <w:t xml:space="preserve">— likely phrasing</w:t>
      </w:r>
      <w:r>
        <w:t xml:space="preserve"> </w:t>
      </w:r>
      <w:r>
        <w:t xml:space="preserve">-</w:t>
      </w:r>
      <w:r>
        <w:t xml:space="preserve"> </w:t>
      </w:r>
      <w:r>
        <w:rPr>
          <w:bCs/>
          <w:b/>
        </w:rPr>
        <w:t xml:space="preserve">Why this question</w:t>
      </w:r>
      <w:r>
        <w:t xml:space="preserve"> </w:t>
      </w:r>
      <w:r>
        <w:t xml:space="preserve">— the examiner concern behind it</w:t>
      </w:r>
      <w:r>
        <w:t xml:space="preserve"> </w:t>
      </w:r>
      <w:r>
        <w:t xml:space="preserve">-</w:t>
      </w:r>
      <w:r>
        <w:t xml:space="preserve"> </w:t>
      </w:r>
      <w:r>
        <w:rPr>
          <w:bCs/>
          <w:b/>
        </w:rPr>
        <w:t xml:space="preserve">Anchor answer</w:t>
      </w:r>
      <w:r>
        <w:t xml:space="preserve"> </w:t>
      </w:r>
      <w:r>
        <w:t xml:space="preserve">— 60–90 second response (what to say first)</w:t>
      </w:r>
      <w:r>
        <w:t xml:space="preserve"> </w:t>
      </w:r>
      <w:r>
        <w:t xml:space="preserve">-</w:t>
      </w:r>
      <w:r>
        <w:t xml:space="preserve"> </w:t>
      </w:r>
      <w:r>
        <w:rPr>
          <w:bCs/>
          <w:b/>
        </w:rPr>
        <w:t xml:space="preserve">Backup material</w:t>
      </w:r>
      <w:r>
        <w:t xml:space="preserve"> </w:t>
      </w:r>
      <w:r>
        <w:t xml:space="preserve">— supporting numbers and citations to deploy if probed</w:t>
      </w:r>
      <w:r>
        <w:t xml:space="preserve"> </w:t>
      </w:r>
      <w:r>
        <w:t xml:space="preserve">-</w:t>
      </w:r>
      <w:r>
        <w:t xml:space="preserve"> </w:t>
      </w:r>
      <w:r>
        <w:rPr>
          <w:bCs/>
          <w:b/>
        </w:rPr>
        <w:t xml:space="preserve">Trap to avoid</w:t>
      </w:r>
      <w:r>
        <w:t xml:space="preserve"> </w:t>
      </w:r>
      <w:r>
        <w:t xml:space="preserve">— the wrong response that will deepen the concern</w:t>
      </w:r>
    </w:p>
    <w:p>
      <w:pPr>
        <w:pStyle w:val="BodyText"/>
      </w:pPr>
      <w:r>
        <w:t xml:space="preserve">Rehearse the</w:t>
      </w:r>
      <w:r>
        <w:t xml:space="preserve"> </w:t>
      </w:r>
      <w:r>
        <w:rPr>
          <w:bCs/>
          <w:b/>
        </w:rPr>
        <w:t xml:space="preserve">anchor answers</w:t>
      </w:r>
      <w:r>
        <w:t xml:space="preserve"> </w:t>
      </w:r>
      <w:r>
        <w:t xml:space="preserve">until they are fluent. The</w:t>
      </w:r>
      <w:r>
        <w:t xml:space="preserve"> </w:t>
      </w:r>
      <w:r>
        <w:rPr>
          <w:bCs/>
          <w:b/>
        </w:rPr>
        <w:t xml:space="preserve">backup material</w:t>
      </w:r>
      <w:r>
        <w:t xml:space="preserve"> </w:t>
      </w:r>
      <w:r>
        <w:t xml:space="preserve">is fallback content for follow-up probing.</w:t>
      </w:r>
    </w:p>
    <w:p>
      <w:r>
        <w:pict>
          <v:rect style="width:0;height:1.5pt" o:hralign="center" o:hrstd="t" o:hr="t"/>
        </w:pict>
      </w:r>
    </w:p>
    <w:bookmarkEnd w:id="20"/>
    <w:bookmarkStart w:id="27" w:name="Xda7e7eff2542109e552f1b75e85b8ccf947941d"/>
    <w:p>
      <w:pPr>
        <w:pStyle w:val="Heading2"/>
      </w:pPr>
      <w:r>
        <w:t xml:space="preserve">Tier 1 — Almost certain questions (rehearse to fluency)</w:t>
      </w:r>
    </w:p>
    <w:bookmarkStart w:id="21" w:name="X03675e72a5ef533d957c3dc34fac8964e01d377"/>
    <w:p>
      <w:pPr>
        <w:pStyle w:val="Heading3"/>
      </w:pPr>
      <w:r>
        <w:t xml:space="preserve">Q1.1:</w:t>
      </w:r>
      <w:r>
        <w:t xml:space="preserve"> </w:t>
      </w:r>
      <w:r>
        <w:t xml:space="preserve">“</w:t>
      </w:r>
      <w:r>
        <w:t xml:space="preserve">Đóng góp lý thuyết cốt lõi của luận án là gì? Trong một câu.</w:t>
      </w:r>
      <w:r>
        <w:t xml:space="preserve">”</w:t>
      </w:r>
      <w:r>
        <w:t xml:space="preserve"> </w:t>
      </w:r>
      <w:r>
        <w:t xml:space="preserve">/</w:t>
      </w:r>
      <w:r>
        <w:t xml:space="preserve"> </w:t>
      </w:r>
      <w:r>
        <w:t xml:space="preserve">“</w:t>
      </w:r>
      <w:r>
        <w:t xml:space="preserve">What is the core theoretical contribution of the dissertation, in one sentence?</w:t>
      </w:r>
      <w:r>
        <w:t xml:space="preserve">”</w:t>
      </w:r>
    </w:p>
    <w:p>
      <w:pPr>
        <w:pStyle w:val="FirstParagraph"/>
      </w:pPr>
      <w:r>
        <w:rPr>
          <w:bCs/>
          <w:b/>
        </w:rPr>
        <w:t xml:space="preserve">Why this question:</w:t>
      </w:r>
      <w:r>
        <w:t xml:space="preserve"> </w:t>
      </w:r>
      <w:r>
        <w:t xml:space="preserve">First question of every defense. Examiners need to know if you can state the contribution crisply. A rambling answer signals you do not yet own the work.</w:t>
      </w:r>
    </w:p>
    <w:p>
      <w:pPr>
        <w:pStyle w:val="BodyText"/>
      </w:pPr>
      <w:r>
        <w:rPr>
          <w:bCs/>
          <w:b/>
        </w:rPr>
        <w:t xml:space="preserve">Anchor answer:</w:t>
      </w:r>
      <w:r>
        <w:t xml:space="preserve"> </w:t>
      </w:r>
      <w:r>
        <w:rPr>
          <w:iCs/>
          <w:i/>
        </w:rPr>
        <w:t xml:space="preserve">“</w:t>
      </w:r>
      <w:r>
        <w:rPr>
          <w:iCs/>
          <w:i/>
        </w:rPr>
        <w:t xml:space="preserve">Luận án chứng minh quan hệ quốc tế hóa–hiệu quả là quan hệ có điều kiện theo ba chiều — chế độ thể chế, năng lực cấp doanh nghiệp, và độ sâu hạ tầng số — và lượng hóa rằng bốn thập kỷ bằng chứng tích lũy trong tài liệu đã bị thổi phồng khoảng 53% do thiên lệch công bố.</w:t>
      </w:r>
      <w:r>
        <w:rPr>
          <w:iCs/>
          <w:i/>
        </w:rPr>
        <w:t xml:space="preserve">”</w:t>
      </w:r>
      <w:r>
        <w:t xml:space="preserve"> </w:t>
      </w:r>
      <w:r>
        <w:rPr>
          <w:iCs/>
          <w:i/>
        </w:rPr>
        <w:t xml:space="preserve">(English:</w:t>
      </w:r>
      <w:r>
        <w:rPr>
          <w:iCs/>
          <w:i/>
        </w:rPr>
        <w:t xml:space="preserve"> </w:t>
      </w:r>
      <w:r>
        <w:rPr>
          <w:iCs/>
          <w:i/>
        </w:rPr>
        <w:t xml:space="preserve">“</w:t>
      </w:r>
      <w:r>
        <w:rPr>
          <w:iCs/>
          <w:i/>
        </w:rPr>
        <w:t xml:space="preserve">The dissertation establishes that the internationalization–performance relationship is conditional in three dimensions — institutional regime, firm-level capability composition, and the depth of available digital infrastructure — and quantifies that the four-decade accumulated literature is materially inflated, by roughly 53%, by publication selection.</w:t>
      </w:r>
      <w:r>
        <w:rPr>
          <w:iCs/>
          <w:i/>
        </w:rPr>
        <w:t xml:space="preserve">”</w:t>
      </w:r>
      <w:r>
        <w:rPr>
          <w:iCs/>
          <w:i/>
        </w:rPr>
        <w:t xml:space="preserve">)</w:t>
      </w:r>
    </w:p>
    <w:p>
      <w:pPr>
        <w:pStyle w:val="BodyText"/>
      </w:pPr>
      <w:r>
        <w:rPr>
          <w:bCs/>
          <w:b/>
        </w:rPr>
        <w:t xml:space="preserve">Backup material:</w:t>
      </w:r>
      <w:r>
        <w:t xml:space="preserve"> </w:t>
      </w:r>
      <w:r>
        <w:t xml:space="preserve">- ICRV firm-level interaction (P7): FSTS × ICRV β = +1.85, FSTS² × ICRV β = −2.93 (both p &lt; .001)</w:t>
      </w:r>
      <w:r>
        <w:t xml:space="preserve"> </w:t>
      </w:r>
      <w:r>
        <w:t xml:space="preserve">- Publication bias (P6): trim-and-fill 53% attenuation, Begg p &lt; .001</w:t>
      </w:r>
      <w:r>
        <w:t xml:space="preserve"> </w:t>
      </w:r>
      <w:r>
        <w:t xml:space="preserve">- Three-dimension conditionality is testable only via combined design (P3 + P4 + P5 + P7 + P8); single papers cannot disentangle</w:t>
      </w:r>
    </w:p>
    <w:p>
      <w:pPr>
        <w:pStyle w:val="BodyText"/>
      </w:pPr>
      <w:r>
        <w:rPr>
          <w:bCs/>
          <w:b/>
        </w:rPr>
        <w:t xml:space="preserve">Trap to avoid:</w:t>
      </w:r>
      <w:r>
        <w:t xml:space="preserve"> </w:t>
      </w:r>
      <w:r>
        <w:t xml:space="preserve">Listing every contribution. The committee tests whether you have a single elevator pitch.</w:t>
      </w:r>
    </w:p>
    <w:p>
      <w:r>
        <w:pict>
          <v:rect style="width:0;height:1.5pt" o:hralign="center" o:hrstd="t" o:hr="t"/>
        </w:pict>
      </w:r>
    </w:p>
    <w:bookmarkEnd w:id="21"/>
    <w:bookmarkStart w:id="22" w:name="Xc4f897f6f283287890723ac73b012d35a6de109"/>
    <w:p>
      <w:pPr>
        <w:pStyle w:val="Heading3"/>
      </w:pPr>
      <w:r>
        <w:t xml:space="preserve">Q1.2:</w:t>
      </w:r>
      <w:r>
        <w:t xml:space="preserve"> </w:t>
      </w:r>
      <w:r>
        <w:t xml:space="preserve">“</w:t>
      </w:r>
      <w:r>
        <w:t xml:space="preserve">Vì sao tám bài báo? Có phải bạn đang chẻ nhỏ kết quả (salami slicing)?</w:t>
      </w:r>
      <w:r>
        <w:t xml:space="preserve">”</w:t>
      </w:r>
      <w:r>
        <w:t xml:space="preserve"> </w:t>
      </w:r>
      <w:r>
        <w:t xml:space="preserve">/</w:t>
      </w:r>
      <w:r>
        <w:t xml:space="preserve"> </w:t>
      </w:r>
      <w:r>
        <w:t xml:space="preserve">“</w:t>
      </w:r>
      <w:r>
        <w:t xml:space="preserve">Why eight papers? Isn’t this salami slicing?</w:t>
      </w:r>
      <w:r>
        <w:t xml:space="preserve">”</w:t>
      </w:r>
    </w:p>
    <w:p>
      <w:pPr>
        <w:pStyle w:val="FirstParagraph"/>
      </w:pPr>
      <w:r>
        <w:rPr>
          <w:bCs/>
          <w:b/>
        </w:rPr>
        <w:t xml:space="preserve">Why this question:</w:t>
      </w:r>
      <w:r>
        <w:t xml:space="preserve"> </w:t>
      </w:r>
      <w:r>
        <w:t xml:space="preserve">Standard adversarial probe at top-tier defenses. The committee tests whether the portfolio is one coherent contribution or eight overlapping fragments.</w:t>
      </w:r>
    </w:p>
    <w:p>
      <w:pPr>
        <w:pStyle w:val="BodyText"/>
      </w:pPr>
      <w:r>
        <w:rPr>
          <w:bCs/>
          <w:b/>
        </w:rPr>
        <w:t xml:space="preserve">Anchor answer:</w:t>
      </w:r>
      <w:r>
        <w:t xml:space="preserve"> </w:t>
      </w:r>
      <w:r>
        <w:rPr>
          <w:iCs/>
          <w:i/>
        </w:rPr>
        <w:t xml:space="preserve">“</w:t>
      </w:r>
      <w:r>
        <w:rPr>
          <w:iCs/>
          <w:i/>
        </w:rPr>
        <w:t xml:space="preserve">Mỗi bài tách bạch một điều kiện lý thuyết — một quốc gia một vị trí thể chế (P3 Việt Nam IV/V, P4 Singapore I, P5 Trung Quốc III), một cohort thời gian (P3 ba sóng, P5 hai sóng), một tổng hợp meta-analytic toàn cầu (P6), một mở rộng đa quốc gia toàn mẫu (P7), và một điều kiện biên cực đoan (P8 SIDS). Ba dự đoán cumulative của khung CDCM — độ cong thay đổi theo ICRV, DAI là nguồn lực có điều kiện, và thiên lệch công bố + điều tiết bối cảnh là hai mảnh giải thích cùng cần thiết — chỉ kiểm định được khi kết hợp các bài; bỏ một bài là mất một bậc tự do mà các bài khác không bù được.</w:t>
      </w:r>
      <w:r>
        <w:rPr>
          <w:iCs/>
          <w:i/>
        </w:rPr>
        <w:t xml:space="preserve">”</w:t>
      </w:r>
    </w:p>
    <w:p>
      <w:pPr>
        <w:pStyle w:val="BodyText"/>
      </w:pPr>
      <w:r>
        <w:rPr>
          <w:bCs/>
          <w:b/>
        </w:rPr>
        <w:t xml:space="preserve">Backup material:</w:t>
      </w:r>
      <w:r>
        <w:t xml:space="preserve"> </w:t>
      </w:r>
      <w:r>
        <w:t xml:space="preserve">- Refer to</w:t>
      </w:r>
      <w:r>
        <w:t xml:space="preserve"> </w:t>
      </w:r>
      <w:r>
        <w:rPr>
          <w:rStyle w:val="VerbatimChar"/>
        </w:rPr>
        <w:t xml:space="preserve">cumulative_argument_summary.md</w:t>
      </w:r>
      <w:r>
        <w:t xml:space="preserve"> </w:t>
      </w:r>
      <w:r>
        <w:t xml:space="preserve">§3 for the three combined-design predictions</w:t>
      </w:r>
      <w:r>
        <w:t xml:space="preserve"> </w:t>
      </w:r>
      <w:r>
        <w:t xml:space="preserve">- Companion-paper disclosures explicit in P3 §5.1, P4 §3.2.3, P6 §5.1 — no hidden overlap</w:t>
      </w:r>
      <w:r>
        <w:t xml:space="preserve"> </w:t>
      </w:r>
      <w:r>
        <w:t xml:space="preserve">- Differentiation tables in P3 (vs P1), P4 (vs P3), P5 (vs P2), P7 (vs P3/P4/P5/P6)</w:t>
      </w:r>
    </w:p>
    <w:p>
      <w:pPr>
        <w:pStyle w:val="BodyText"/>
      </w:pPr>
      <w:r>
        <w:rPr>
          <w:bCs/>
          <w:b/>
        </w:rPr>
        <w:t xml:space="preserve">Trap to avoid:</w:t>
      </w:r>
      <w:r>
        <w:t xml:space="preserve"> </w:t>
      </w:r>
      <w:r>
        <w:t xml:space="preserve">Defending each paper individually. The right response is showing what the</w:t>
      </w:r>
      <w:r>
        <w:t xml:space="preserve"> </w:t>
      </w:r>
      <w:r>
        <w:rPr>
          <w:iCs/>
          <w:i/>
        </w:rPr>
        <w:t xml:space="preserve">combination</w:t>
      </w:r>
      <w:r>
        <w:t xml:space="preserve"> </w:t>
      </w:r>
      <w:r>
        <w:t xml:space="preserve">enables.</w:t>
      </w:r>
    </w:p>
    <w:p>
      <w:r>
        <w:pict>
          <v:rect style="width:0;height:1.5pt" o:hralign="center" o:hrstd="t" o:hr="t"/>
        </w:pict>
      </w:r>
    </w:p>
    <w:bookmarkEnd w:id="22"/>
    <w:bookmarkStart w:id="23" w:name="X2f709a4bb863ee02d317c3a8605e528c3698b58"/>
    <w:p>
      <w:pPr>
        <w:pStyle w:val="Heading3"/>
      </w:pPr>
      <w:r>
        <w:t xml:space="preserve">Q1.3:</w:t>
      </w:r>
      <w:r>
        <w:t xml:space="preserve"> </w:t>
      </w:r>
      <w:r>
        <w:t xml:space="preserve">“</w:t>
      </w:r>
      <w:r>
        <w:t xml:space="preserve">Phát hiện thiên lệch công bố ~53% có làm vô hiệu chính chương trình kiểm định moderator của bạn không?</w:t>
      </w:r>
      <w:r>
        <w:t xml:space="preserve">”</w:t>
      </w:r>
      <w:r>
        <w:t xml:space="preserve"> </w:t>
      </w:r>
      <w:r>
        <w:t xml:space="preserve">/</w:t>
      </w:r>
      <w:r>
        <w:t xml:space="preserve"> </w:t>
      </w:r>
      <w:r>
        <w:t xml:space="preserve">“</w:t>
      </w:r>
      <w:r>
        <w:t xml:space="preserve">Doesn’t the ~53% publication bias finding undermine your own moderator project?</w:t>
      </w:r>
      <w:r>
        <w:t xml:space="preserve">”</w:t>
      </w:r>
    </w:p>
    <w:p>
      <w:pPr>
        <w:pStyle w:val="FirstParagraph"/>
      </w:pPr>
      <w:r>
        <w:rPr>
          <w:bCs/>
          <w:b/>
        </w:rPr>
        <w:t xml:space="preserve">Why this question:</w:t>
      </w:r>
      <w:r>
        <w:t xml:space="preserve"> </w:t>
      </w:r>
      <w:r>
        <w:t xml:space="preserve">This is the sharpest internal tension in P6 (the</w:t>
      </w:r>
      <w:r>
        <w:t xml:space="preserve"> </w:t>
      </w:r>
      <w:r>
        <w:t xml:space="preserve">“</w:t>
      </w:r>
      <w:r>
        <w:t xml:space="preserve">paradox</w:t>
      </w:r>
      <w:r>
        <w:t xml:space="preserve">”</w:t>
      </w:r>
      <w:r>
        <w:t xml:space="preserve"> </w:t>
      </w:r>
      <w:r>
        <w:t xml:space="preserve">paragraph I added in §5.2). An examiner with publication-bias expertise will press here.</w:t>
      </w:r>
    </w:p>
    <w:p>
      <w:pPr>
        <w:pStyle w:val="BodyText"/>
      </w:pPr>
      <w:r>
        <w:rPr>
          <w:bCs/>
          <w:b/>
        </w:rPr>
        <w:t xml:space="preserve">Anchor answer:</w:t>
      </w:r>
      <w:r>
        <w:t xml:space="preserve"> </w:t>
      </w:r>
      <w:r>
        <w:rPr>
          <w:iCs/>
          <w:i/>
        </w:rPr>
        <w:t xml:space="preserve">“</w:t>
      </w:r>
      <w:r>
        <w:rPr>
          <w:iCs/>
          <w:i/>
        </w:rPr>
        <w:t xml:space="preserve">Đó chính là nghịch lý mà chúng tôi register chứ không spin. Hàm ý là (a) phát hiện moderator giữa các nghiên cứu cần công lực được hiệu chuẩn theo r ≈ .035 thay vì r ≈ .07–.10, làm tăng đáng kể ngưỡng k cho các kiểm định có công lực đủ; và (b) các phân tích tổng hợp I-P tương lai nên báo cáo ước lượng đã hiệu chỉnh thiên lệch như suy luận chính. Bài viết ghi nhận nghịch lý này như một cam kết chương trình nghiên cứu — không phải giải quyết trong một bài đơn lẻ.</w:t>
      </w:r>
      <w:r>
        <w:rPr>
          <w:iCs/>
          <w:i/>
        </w:rPr>
        <w:t xml:space="preserve">”</w:t>
      </w:r>
      <w:r>
        <w:t xml:space="preserve"> </w:t>
      </w:r>
      <w:r>
        <w:rPr>
          <w:iCs/>
          <w:i/>
        </w:rPr>
        <w:t xml:space="preserve">(English:</w:t>
      </w:r>
      <w:r>
        <w:rPr>
          <w:iCs/>
          <w:i/>
        </w:rPr>
        <w:t xml:space="preserve"> </w:t>
      </w:r>
      <w:r>
        <w:rPr>
          <w:iCs/>
          <w:i/>
        </w:rPr>
        <w:t xml:space="preserve">“</w:t>
      </w:r>
      <w:r>
        <w:rPr>
          <w:iCs/>
          <w:i/>
        </w:rPr>
        <w:t xml:space="preserve">That is the paradox we register rather than spin. The implications are (a) future moderator detection in this literature requires power calibrated to r ≈ .035 rather than r ≈ .07–.10, substantially raising the k threshold for adequately powered tests; and (b) future I-P meta-analyses should report bias-corrected pooled estimates as the primary inference. We register the paradox as a research-programme commitment — not as something a single article can resolve.</w:t>
      </w:r>
      <w:r>
        <w:rPr>
          <w:iCs/>
          <w:i/>
        </w:rPr>
        <w:t xml:space="preserve">”</w:t>
      </w:r>
      <w:r>
        <w:rPr>
          <w:iCs/>
          <w:i/>
        </w:rPr>
        <w:t xml:space="preserve">)</w:t>
      </w:r>
    </w:p>
    <w:p>
      <w:pPr>
        <w:pStyle w:val="BodyText"/>
      </w:pPr>
      <w:r>
        <w:rPr>
          <w:bCs/>
          <w:b/>
        </w:rPr>
        <w:t xml:space="preserve">Backup material:</w:t>
      </w:r>
      <w:r>
        <w:t xml:space="preserve"> </w:t>
      </w:r>
      <w:r>
        <w:t xml:space="preserve">- P6 v1.3 §5.2 explicit</w:t>
      </w:r>
      <w:r>
        <w:t xml:space="preserve"> </w:t>
      </w:r>
      <w:r>
        <w:t xml:space="preserve">“</w:t>
      </w:r>
      <w:r>
        <w:t xml:space="preserve">field-level paradox</w:t>
      </w:r>
      <w:r>
        <w:t xml:space="preserve">”</w:t>
      </w:r>
      <w:r>
        <w:t xml:space="preserve"> </w:t>
      </w:r>
      <w:r>
        <w:t xml:space="preserve">paragraph</w:t>
      </w:r>
      <w:r>
        <w:t xml:space="preserve"> </w:t>
      </w:r>
      <w:r>
        <w:t xml:space="preserve">- Terrin et al. (2003) caveat: trim-and-fill over-corrects under high I²; we frame 53% as</w:t>
      </w:r>
      <w:r>
        <w:t xml:space="preserve"> </w:t>
      </w:r>
      <w:r>
        <w:rPr>
          <w:iCs/>
          <w:i/>
        </w:rPr>
        <w:t xml:space="preserve">upper bound</w:t>
      </w:r>
      <w:r>
        <w:t xml:space="preserve"> </w:t>
      </w:r>
      <w:r>
        <w:t xml:space="preserve">not point estimate</w:t>
      </w:r>
      <w:r>
        <w:t xml:space="preserve"> </w:t>
      </w:r>
      <w:r>
        <w:t xml:space="preserve">- Trim-and-fill imputed k = 58; Begg τ = −0.134 (p &lt; .001); Egger borderline (p = .057)</w:t>
      </w:r>
    </w:p>
    <w:p>
      <w:pPr>
        <w:pStyle w:val="BodyText"/>
      </w:pPr>
      <w:r>
        <w:rPr>
          <w:bCs/>
          <w:b/>
        </w:rPr>
        <w:t xml:space="preserve">Trap to avoid:</w:t>
      </w:r>
      <w:r>
        <w:t xml:space="preserve"> </w:t>
      </w:r>
      <w:r>
        <w:t xml:space="preserve">Claiming P6’s moderator nulls are</w:t>
      </w:r>
      <w:r>
        <w:t xml:space="preserve"> </w:t>
      </w:r>
      <w:r>
        <w:rPr>
          <w:iCs/>
          <w:i/>
        </w:rPr>
        <w:t xml:space="preserve">invalidated</w:t>
      </w:r>
      <w:r>
        <w:t xml:space="preserve"> </w:t>
      </w:r>
      <w:r>
        <w:t xml:space="preserve">by the publication-bias finding. They are</w:t>
      </w:r>
      <w:r>
        <w:t xml:space="preserve"> </w:t>
      </w:r>
      <w:r>
        <w:rPr>
          <w:iCs/>
          <w:i/>
        </w:rPr>
        <w:t xml:space="preserve">bounded</w:t>
      </w:r>
      <w:r>
        <w:t xml:space="preserve"> </w:t>
      </w:r>
      <w:r>
        <w:t xml:space="preserve">by it. The honest framing is the strongest framing.</w:t>
      </w:r>
    </w:p>
    <w:p>
      <w:r>
        <w:pict>
          <v:rect style="width:0;height:1.5pt" o:hralign="center" o:hrstd="t" o:hr="t"/>
        </w:pict>
      </w:r>
    </w:p>
    <w:bookmarkEnd w:id="23"/>
    <w:bookmarkStart w:id="24" w:name="X2a4bc21bb42c072d1d171e3666f94d93ba3c179"/>
    <w:p>
      <w:pPr>
        <w:pStyle w:val="Heading3"/>
      </w:pPr>
      <w:r>
        <w:t xml:space="preserve">Q1.4:</w:t>
      </w:r>
      <w:r>
        <w:t xml:space="preserve"> </w:t>
      </w:r>
      <w:r>
        <w:t xml:space="preserve">“</w:t>
      </w:r>
      <w:r>
        <w:t xml:space="preserve">Tại sao bạn không có Cohen’s κ giữa hai mã hóa viên? Một meta-analysis với một coder duy nhất là chấp nhận được không?</w:t>
      </w:r>
      <w:r>
        <w:t xml:space="preserve">”</w:t>
      </w:r>
      <w:r>
        <w:t xml:space="preserve"> </w:t>
      </w:r>
      <w:r>
        <w:t xml:space="preserve">/</w:t>
      </w:r>
      <w:r>
        <w:t xml:space="preserve"> </w:t>
      </w:r>
      <w:r>
        <w:t xml:space="preserve">“</w:t>
      </w:r>
      <w:r>
        <w:t xml:space="preserve">Why no Cohen’s κ between two coders? Is a single-coder meta-analysis acceptable?</w:t>
      </w:r>
      <w:r>
        <w:t xml:space="preserve">”</w:t>
      </w:r>
    </w:p>
    <w:p>
      <w:pPr>
        <w:pStyle w:val="FirstParagraph"/>
      </w:pPr>
      <w:r>
        <w:rPr>
          <w:bCs/>
          <w:b/>
        </w:rPr>
        <w:t xml:space="preserve">Why this question:</w:t>
      </w:r>
      <w:r>
        <w:t xml:space="preserve"> </w:t>
      </w:r>
      <w:r>
        <w:t xml:space="preserve">Direct methodological challenge. Disclosed in P6 §3.1 deviation #4 and §3.3.2.</w:t>
      </w:r>
    </w:p>
    <w:p>
      <w:pPr>
        <w:pStyle w:val="BodyText"/>
      </w:pPr>
      <w:r>
        <w:rPr>
          <w:bCs/>
          <w:b/>
        </w:rPr>
        <w:t xml:space="preserve">Anchor answer:</w:t>
      </w:r>
      <w:r>
        <w:t xml:space="preserve"> </w:t>
      </w:r>
      <w:r>
        <w:rPr>
          <w:iCs/>
          <w:i/>
        </w:rPr>
        <w:t xml:space="preserve">“</w:t>
      </w:r>
      <w:r>
        <w:rPr>
          <w:iCs/>
          <w:i/>
        </w:rPr>
        <w:t xml:space="preserve">Đúng là hạn chế đáng ghi nhận và chúng tôi công bố minh bạch trong §3.1 sai lệch tiền đăng ký #4 và §3.3.2 chất lượng mã hóa. Chất lượng mã hóa được bảo vệ qua hai cơ chế: hiệu chuẩn giao thức trên mẫu pilot 10 nghiên cứu trước khi mã hóa toàn corpus, và xác minh nhập kép — mỗi cỡ hiệu ứng được nhập lại và đối chiếu với PDF gốc. Bước tiếp theo của chương trình nghiên cứu là kiểm tra gold-standard độc lập trên mẫu phụ stratified ngẫu nhiên 32 nghiên cứu (k đại diện ICRV/DPL/DOI) — script đã được lập trong p6/gold_standard/ — và κ kết quả sẽ được công bố trong bản revision khi nộp.</w:t>
      </w:r>
      <w:r>
        <w:rPr>
          <w:iCs/>
          <w:i/>
        </w:rPr>
        <w:t xml:space="preserve">”</w:t>
      </w:r>
    </w:p>
    <w:p>
      <w:pPr>
        <w:pStyle w:val="BodyText"/>
      </w:pPr>
      <w:r>
        <w:rPr>
          <w:bCs/>
          <w:b/>
        </w:rPr>
        <w:t xml:space="preserve">Backup material:</w:t>
      </w:r>
      <w:r>
        <w:t xml:space="preserve"> </w:t>
      </w:r>
      <w:r>
        <w:t xml:space="preserve">- P6 §3.1 deviation #4 + §3.3.2 fully discloses the gap and the mitigation strategy</w:t>
      </w:r>
      <w:r>
        <w:t xml:space="preserve"> </w:t>
      </w:r>
      <w:r>
        <w:t xml:space="preserve">- Gold-standard scaffold ready (</w:t>
      </w:r>
      <w:r>
        <w:rPr>
          <w:rStyle w:val="VerbatimChar"/>
        </w:rPr>
        <w:t xml:space="preserve">p6/gold_standard/01_select_sample.py</w:t>
      </w:r>
      <w:r>
        <w:t xml:space="preserve">, n=32)</w:t>
      </w:r>
      <w:r>
        <w:t xml:space="preserve"> </w:t>
      </w:r>
      <w:r>
        <w:t xml:space="preserve">- Pre-registered threshold: κ ≥ .70 categorical, % agreement ≥ 90% numeric</w:t>
      </w:r>
    </w:p>
    <w:p>
      <w:pPr>
        <w:pStyle w:val="BodyText"/>
      </w:pPr>
      <w:r>
        <w:rPr>
          <w:bCs/>
          <w:b/>
        </w:rPr>
        <w:t xml:space="preserve">Trap to avoid:</w:t>
      </w:r>
      <w:r>
        <w:t xml:space="preserve"> </w:t>
      </w:r>
      <w:r>
        <w:t xml:space="preserve">Defending the single-coder design as adequate. Acknowledge openly that it is a limitation and present the remediation plan.</w:t>
      </w:r>
    </w:p>
    <w:p>
      <w:r>
        <w:pict>
          <v:rect style="width:0;height:1.5pt" o:hralign="center" o:hrstd="t" o:hr="t"/>
        </w:pict>
      </w:r>
    </w:p>
    <w:bookmarkEnd w:id="24"/>
    <w:bookmarkStart w:id="25" w:name="Xa1fa046ad87765279feac7942037d8d5872f1a6"/>
    <w:p>
      <w:pPr>
        <w:pStyle w:val="Heading3"/>
      </w:pPr>
      <w:r>
        <w:t xml:space="preserve">Q1.5:</w:t>
      </w:r>
      <w:r>
        <w:t xml:space="preserve"> </w:t>
      </w:r>
      <w:r>
        <w:t xml:space="preserve">“</w:t>
      </w:r>
      <w:r>
        <w:t xml:space="preserve">Forced Internationalization Penalty (FIP) — đây có phải là khái niệm mới hay chỉ đặt tên cho điều Briguglio đã nói từ 1995?</w:t>
      </w:r>
      <w:r>
        <w:t xml:space="preserve">”</w:t>
      </w:r>
      <w:r>
        <w:t xml:space="preserve"> </w:t>
      </w:r>
      <w:r>
        <w:t xml:space="preserve">/</w:t>
      </w:r>
      <w:r>
        <w:t xml:space="preserve"> </w:t>
      </w:r>
      <w:r>
        <w:t xml:space="preserve">“</w:t>
      </w:r>
      <w:r>
        <w:t xml:space="preserve">FIP — is this a new concept or just a relabeling of what Briguglio said in 1995?</w:t>
      </w:r>
      <w:r>
        <w:t xml:space="preserve">”</w:t>
      </w:r>
    </w:p>
    <w:p>
      <w:pPr>
        <w:pStyle w:val="FirstParagraph"/>
      </w:pPr>
      <w:r>
        <w:rPr>
          <w:bCs/>
          <w:b/>
        </w:rPr>
        <w:t xml:space="preserve">Why this question:</w:t>
      </w:r>
      <w:r>
        <w:t xml:space="preserve"> </w:t>
      </w:r>
      <w:r>
        <w:t xml:space="preserve">Adversarial naming probe. Briguglio (1995) is foundational SIDS literature; examiner tests whether you understand the precedent.</w:t>
      </w:r>
    </w:p>
    <w:p>
      <w:pPr>
        <w:pStyle w:val="BodyText"/>
      </w:pPr>
      <w:r>
        <w:rPr>
          <w:bCs/>
          <w:b/>
        </w:rPr>
        <w:t xml:space="preserve">Anchor answer:</w:t>
      </w:r>
      <w:r>
        <w:t xml:space="preserve"> </w:t>
      </w:r>
      <w:r>
        <w:rPr>
          <w:iCs/>
          <w:i/>
        </w:rPr>
        <w:t xml:space="preserve">“</w:t>
      </w:r>
      <w:r>
        <w:rPr>
          <w:iCs/>
          <w:i/>
        </w:rPr>
        <w:t xml:space="preserve">Ba ràng buộc cấu trúc — thị trường nội địa quá nhỏ, chi phí thương mại quá cao, thể chế thiếu chức năng — đã được phân tích trong Briguglio (1995) và mô hình MIRAB của Bertram (2006). Đóng góp của P8 là (a) chính thức kết nối ba ràng buộc này với dấu của hệ số FSTS trong hồi quy I-P ở cấp doanh nghiệp, (b) cung cấp ước lượng định lượng đầu tiên (β = −0.404, p = .032) trên dữ liệu WBES cho mẫu 9 quốc đảo Thái Bình Dương, và (c) đặt FIP làm điều kiện biên có dấu rõ ràng cho mô hình chữ U ngược. FIP đặt tên cho firm-level operationalization của một cơ chế macro-level đã được công nhận, không khẳng định là cơ chế mới.</w:t>
      </w:r>
      <w:r>
        <w:rPr>
          <w:iCs/>
          <w:i/>
        </w:rPr>
        <w:t xml:space="preserve">”</w:t>
      </w:r>
    </w:p>
    <w:p>
      <w:pPr>
        <w:pStyle w:val="BodyText"/>
      </w:pPr>
      <w:r>
        <w:rPr>
          <w:bCs/>
          <w:b/>
        </w:rPr>
        <w:t xml:space="preserve">Backup material:</w:t>
      </w:r>
      <w:r>
        <w:t xml:space="preserve"> </w:t>
      </w:r>
      <w:r>
        <w:t xml:space="preserve">- P8 §2.2 explicitly distinguishes FIP from Briguglio’s vulnerability framework</w:t>
      </w:r>
      <w:r>
        <w:t xml:space="preserve"> </w:t>
      </w:r>
      <w:r>
        <w:t xml:space="preserve">- P8 §1.27 (post-fix): cites Briguglio + Bertram MIRAB + Briguglio et al. (2009) as the foundational literature</w:t>
      </w:r>
      <w:r>
        <w:t xml:space="preserve"> </w:t>
      </w:r>
      <w:r>
        <w:t xml:space="preserve">- N = 1,469 / 187 exporters / 9 economies — modest sample by IB standards, openly acknowledged</w:t>
      </w:r>
    </w:p>
    <w:p>
      <w:pPr>
        <w:pStyle w:val="BodyText"/>
      </w:pPr>
      <w:r>
        <w:rPr>
          <w:bCs/>
          <w:b/>
        </w:rPr>
        <w:t xml:space="preserve">Trap to avoid:</w:t>
      </w:r>
      <w:r>
        <w:t xml:space="preserve"> </w:t>
      </w:r>
      <w:r>
        <w:t xml:space="preserve">Claiming FIP</w:t>
      </w:r>
      <w:r>
        <w:t xml:space="preserve"> </w:t>
      </w:r>
      <w:r>
        <w:t xml:space="preserve">“</w:t>
      </w:r>
      <w:r>
        <w:t xml:space="preserve">introduces</w:t>
      </w:r>
      <w:r>
        <w:t xml:space="preserve">”</w:t>
      </w:r>
      <w:r>
        <w:t xml:space="preserve"> </w:t>
      </w:r>
      <w:r>
        <w:t xml:space="preserve">something Briguglio analyzed. Honest scoping =</w:t>
      </w:r>
      <w:r>
        <w:t xml:space="preserve"> </w:t>
      </w:r>
      <w:r>
        <w:t xml:space="preserve">“</w:t>
      </w:r>
      <w:r>
        <w:t xml:space="preserve">operationalization of a recognized macro mechanism at the firm-level signature.</w:t>
      </w:r>
      <w:r>
        <w:t xml:space="preserve">”</w:t>
      </w:r>
    </w:p>
    <w:p>
      <w:r>
        <w:pict>
          <v:rect style="width:0;height:1.5pt" o:hralign="center" o:hrstd="t" o:hr="t"/>
        </w:pict>
      </w:r>
    </w:p>
    <w:bookmarkEnd w:id="25"/>
    <w:bookmarkStart w:id="26" w:name="Xc2d2ebc78cece2f623c57332c00b1add06ee804"/>
    <w:p>
      <w:pPr>
        <w:pStyle w:val="Heading3"/>
      </w:pPr>
      <w:r>
        <w:t xml:space="preserve">Q1.6:</w:t>
      </w:r>
      <w:r>
        <w:t xml:space="preserve"> </w:t>
      </w:r>
      <w:r>
        <w:t xml:space="preserve">“</w:t>
      </w:r>
      <w:r>
        <w:t xml:space="preserve">Capability–Context Mismatch (CCM) trong P6 §5.2 — đây có phải HARKing không? Bạn đề xuất sau khi thấy kết quả null.</w:t>
      </w:r>
      <w:r>
        <w:t xml:space="preserve">”</w:t>
      </w:r>
      <w:r>
        <w:t xml:space="preserve"> </w:t>
      </w:r>
      <w:r>
        <w:t xml:space="preserve">/</w:t>
      </w:r>
      <w:r>
        <w:t xml:space="preserve"> </w:t>
      </w:r>
      <w:r>
        <w:t xml:space="preserve">“</w:t>
      </w:r>
      <w:r>
        <w:t xml:space="preserve">Capability–Context Mismatch (CCM) in P6 §5.2 — is this HARKing? You introduced it after observing the null results.</w:t>
      </w:r>
      <w:r>
        <w:t xml:space="preserve">”</w:t>
      </w:r>
    </w:p>
    <w:p>
      <w:pPr>
        <w:pStyle w:val="FirstParagraph"/>
      </w:pPr>
      <w:r>
        <w:rPr>
          <w:bCs/>
          <w:b/>
        </w:rPr>
        <w:t xml:space="preserve">Why this question:</w:t>
      </w:r>
      <w:r>
        <w:t xml:space="preserve"> </w:t>
      </w:r>
      <w:r>
        <w:t xml:space="preserve">Sharpest methodological challenge for P6. A reviewer familiar with HARKing (Hypothesizing After Results Known) discussions in management research will press.</w:t>
      </w:r>
    </w:p>
    <w:p>
      <w:pPr>
        <w:pStyle w:val="BodyText"/>
      </w:pPr>
      <w:r>
        <w:rPr>
          <w:bCs/>
          <w:b/>
        </w:rPr>
        <w:t xml:space="preserve">Anchor answer:</w:t>
      </w:r>
      <w:r>
        <w:t xml:space="preserve"> </w:t>
      </w:r>
      <w:r>
        <w:rPr>
          <w:iCs/>
          <w:i/>
        </w:rPr>
        <w:t xml:space="preserve">“</w:t>
      </w:r>
      <w:r>
        <w:rPr>
          <w:iCs/>
          <w:i/>
        </w:rPr>
        <w:t xml:space="preserve">Đúng và chúng tôi disclose minh bạch. CCM được giới thiệu trong P6 v1.3 §5.2</w:t>
      </w:r>
      <w:r>
        <w:rPr>
          <w:iCs/>
          <w:i/>
        </w:rPr>
        <w:t xml:space="preserve"> </w:t>
      </w:r>
      <w:r>
        <w:rPr>
          <w:iCs/>
          <w:i/>
          <w:iCs/>
          <w:i/>
        </w:rPr>
        <w:t xml:space="preserve">Đóng góp 2</w:t>
      </w:r>
      <w:r>
        <w:rPr>
          <w:iCs/>
          <w:i/>
        </w:rPr>
        <w:t xml:space="preserve"> </w:t>
      </w:r>
      <w:r>
        <w:rPr>
          <w:iCs/>
          <w:i/>
        </w:rPr>
        <w:t xml:space="preserve">CHỈ NHƯ một mệnh đề hậu nghiệm (post-hoc proposition) cho sao chép xác nhận trong tương lai — không phải khung lý thuyết tiền đăng ký. Nó không xuất hiện trong tiền đăng ký OSF z37kn, không xuất hiện trong Introduction, và Discussion ghi rõ</w:t>
      </w:r>
      <w:r>
        <w:rPr>
          <w:iCs/>
          <w:i/>
        </w:rPr>
        <w:t xml:space="preserve"> </w:t>
      </w:r>
      <w:r>
        <w:rPr>
          <w:iCs/>
          <w:i/>
        </w:rPr>
        <w:t xml:space="preserve">‘</w:t>
      </w:r>
      <w:r>
        <w:rPr>
          <w:iCs/>
          <w:i/>
        </w:rPr>
        <w:t xml:space="preserve">requires confirmatory replication rather than as a finding of this study.</w:t>
      </w:r>
      <w:r>
        <w:rPr>
          <w:iCs/>
          <w:i/>
        </w:rPr>
        <w:t xml:space="preserve">’</w:t>
      </w:r>
      <w:r>
        <w:rPr>
          <w:iCs/>
          <w:i/>
        </w:rPr>
        <w:t xml:space="preserve"> </w:t>
      </w:r>
      <w:r>
        <w:rPr>
          <w:iCs/>
          <w:i/>
        </w:rPr>
        <w:t xml:space="preserve">Đây là HARKing tránh được bằng việc treating it as Discussion-level theorizing, not as a tested hypothesis.</w:t>
      </w:r>
      <w:r>
        <w:rPr>
          <w:iCs/>
          <w:i/>
        </w:rPr>
        <w:t xml:space="preserve">”</w:t>
      </w:r>
    </w:p>
    <w:p>
      <w:pPr>
        <w:pStyle w:val="BodyText"/>
      </w:pPr>
      <w:r>
        <w:rPr>
          <w:bCs/>
          <w:b/>
        </w:rPr>
        <w:t xml:space="preserve">Backup material:</w:t>
      </w:r>
      <w:r>
        <w:t xml:space="preserve"> </w:t>
      </w:r>
      <w:r>
        <w:t xml:space="preserve">- P6 v1.3 §5.2 Contribution 2: explicit</w:t>
      </w:r>
      <w:r>
        <w:t xml:space="preserve"> </w:t>
      </w:r>
      <w:r>
        <w:t xml:space="preserve">“</w:t>
      </w:r>
      <w:r>
        <w:t xml:space="preserve">post-hoc proposition</w:t>
      </w:r>
      <w:r>
        <w:t xml:space="preserve">”</w:t>
      </w:r>
      <w:r>
        <w:t xml:space="preserve"> </w:t>
      </w:r>
      <w:r>
        <w:t xml:space="preserve">- P6 v1.3 Introduction: CCM removed from contributions list (HARKing avoidance)</w:t>
      </w:r>
      <w:r>
        <w:t xml:space="preserve"> </w:t>
      </w:r>
      <w:r>
        <w:t xml:space="preserve">- §3.1 deviation #5 (added): discloses post-hoc nature</w:t>
      </w:r>
    </w:p>
    <w:p>
      <w:pPr>
        <w:pStyle w:val="BodyText"/>
      </w:pPr>
      <w:r>
        <w:rPr>
          <w:bCs/>
          <w:b/>
        </w:rPr>
        <w:t xml:space="preserve">Trap to avoid:</w:t>
      </w:r>
      <w:r>
        <w:t xml:space="preserve"> </w:t>
      </w:r>
      <w:r>
        <w:t xml:space="preserve">Defending CCM as a finding. It is a Discussion-section hypothesis-for-future-work; that framing is defensible, the other is not.</w:t>
      </w:r>
    </w:p>
    <w:p>
      <w:r>
        <w:pict>
          <v:rect style="width:0;height:1.5pt" o:hralign="center" o:hrstd="t" o:hr="t"/>
        </w:pict>
      </w:r>
    </w:p>
    <w:bookmarkEnd w:id="26"/>
    <w:bookmarkEnd w:id="27"/>
    <w:bookmarkStart w:id="33" w:name="Xa7682677632e38cfbc63fbe808d38499ca6b86e"/>
    <w:p>
      <w:pPr>
        <w:pStyle w:val="Heading2"/>
      </w:pPr>
      <w:r>
        <w:t xml:space="preserve">Tier 2 — Highly likely questions (rehearse main points)</w:t>
      </w:r>
    </w:p>
    <w:bookmarkStart w:id="28" w:name="X75dd10e18b7f6ddedfaa16ca8a620d6e98a7067"/>
    <w:p>
      <w:pPr>
        <w:pStyle w:val="Heading3"/>
      </w:pPr>
      <w:r>
        <w:t xml:space="preserve">Q2.1:</w:t>
      </w:r>
      <w:r>
        <w:t xml:space="preserve"> </w:t>
      </w:r>
      <w:r>
        <w:t xml:space="preserve">“</w:t>
      </w:r>
      <w:r>
        <w:t xml:space="preserve">Khung CDCM có phải là lý thuyết mới hay chỉ là tổng hợp các lý thuyết hiện có?</w:t>
      </w:r>
      <w:r>
        <w:t xml:space="preserve">”</w:t>
      </w:r>
      <w:r>
        <w:t xml:space="preserve"> </w:t>
      </w:r>
      <w:r>
        <w:t xml:space="preserve">/</w:t>
      </w:r>
      <w:r>
        <w:t xml:space="preserve"> </w:t>
      </w:r>
      <w:r>
        <w:t xml:space="preserve">“</w:t>
      </w:r>
      <w:r>
        <w:t xml:space="preserve">Is CDCM a new theory or just a synthesis of existing theories?</w:t>
      </w:r>
      <w:r>
        <w:t xml:space="preserve">”</w:t>
      </w:r>
    </w:p>
    <w:p>
      <w:pPr>
        <w:pStyle w:val="FirstParagraph"/>
      </w:pPr>
      <w:r>
        <w:rPr>
          <w:bCs/>
          <w:b/>
        </w:rPr>
        <w:t xml:space="preserve">Anchor answer:</w:t>
      </w:r>
      <w:r>
        <w:t xml:space="preserve"> </w:t>
      </w:r>
      <w:r>
        <w:rPr>
          <w:iCs/>
          <w:i/>
        </w:rPr>
        <w:t xml:space="preserve">“</w:t>
      </w:r>
      <w:r>
        <w:rPr>
          <w:iCs/>
          <w:i/>
        </w:rPr>
        <w:t xml:space="preserve">CDCM được đề xuất như khung tổ chức tích hợp (integrative organizing framework), không phải lý thuyết mới. Nó kết hợp năm nguồn lý thuyết — Uppsala, RBV, lý thuyết thể chế, lý thuyết Bậc trên, và lăng kính số — vào một mô hình empirical kiểm định được. Đóng góp không phải tạo lý thuyết mới mà là tích hợp các tầng đã nghiên cứu rời rạc thành một mô hình có thể adjudicate giữa các dự đoán cạnh tranh trên cùng một bộ dữ liệu đa quốc gia.</w:t>
      </w:r>
      <w:r>
        <w:rPr>
          <w:iCs/>
          <w:i/>
        </w:rPr>
        <w:t xml:space="preserve">”</w:t>
      </w:r>
    </w:p>
    <w:p>
      <w:pPr>
        <w:pStyle w:val="BodyText"/>
      </w:pPr>
      <w:r>
        <w:t xml:space="preserve">Refer to Ch2 §2.5.1 (fixed during top-1% review pass).</w:t>
      </w:r>
    </w:p>
    <w:p>
      <w:r>
        <w:pict>
          <v:rect style="width:0;height:1.5pt" o:hralign="center" o:hrstd="t" o:hr="t"/>
        </w:pict>
      </w:r>
    </w:p>
    <w:bookmarkEnd w:id="28"/>
    <w:bookmarkStart w:id="29" w:name="Xb5fcf5ebe9fe1710132e5d5b1cb92a9695d6c59"/>
    <w:p>
      <w:pPr>
        <w:pStyle w:val="Heading3"/>
      </w:pPr>
      <w:r>
        <w:t xml:space="preserve">Q2.2:</w:t>
      </w:r>
      <w:r>
        <w:t xml:space="preserve"> </w:t>
      </w:r>
      <w:r>
        <w:t xml:space="preserve">“</w:t>
      </w:r>
      <w:r>
        <w:t xml:space="preserve">Phương pháp nhận dạng nhân quả ở P3, P4 có đủ mạnh không? Heckman cần exclusion restriction.</w:t>
      </w:r>
      <w:r>
        <w:t xml:space="preserve">”</w:t>
      </w:r>
      <w:r>
        <w:t xml:space="preserve"> </w:t>
      </w:r>
      <w:r>
        <w:t xml:space="preserve">/</w:t>
      </w:r>
      <w:r>
        <w:t xml:space="preserve"> </w:t>
      </w:r>
      <w:r>
        <w:t xml:space="preserve">“</w:t>
      </w:r>
      <w:r>
        <w:t xml:space="preserve">Are causal identification methods in P3, P4 strong enough? Heckman requires an exclusion restriction.</w:t>
      </w:r>
      <w:r>
        <w:t xml:space="preserve">”</w:t>
      </w:r>
    </w:p>
    <w:p>
      <w:pPr>
        <w:pStyle w:val="FirstParagraph"/>
      </w:pPr>
      <w:r>
        <w:rPr>
          <w:bCs/>
          <w:b/>
        </w:rPr>
        <w:t xml:space="preserve">Anchor answer:</w:t>
      </w:r>
      <w:r>
        <w:t xml:space="preserve"> </w:t>
      </w:r>
      <w:r>
        <w:rPr>
          <w:iCs/>
          <w:i/>
        </w:rPr>
        <w:t xml:space="preserve">“</w:t>
      </w:r>
      <w:r>
        <w:rPr>
          <w:iCs/>
          <w:i/>
        </w:rPr>
        <w:t xml:space="preserve">Cả P3 và P4 đều disclose điều này rõ ràng. P4 §3.3 áp dụng Wolfolds và Siegel (2019): không có exclusion restriction nên Heckman không phải primary specification, OLS với HC1 là primary, IMR là sensitivity diagnostic. P3 §3.4 dùng ba cách bổ sung: Heckman IMR (β = 0.264, p = .055), IV với peer-adoption (F = 22–35), và Oster bounds. Cả ba đều bounded inferential approach, không phải causal claim, và chúng tôi sử dụng ngôn ngữ</w:t>
      </w:r>
      <w:r>
        <w:rPr>
          <w:iCs/>
          <w:i/>
        </w:rPr>
        <w:t xml:space="preserve"> </w:t>
      </w:r>
      <w:r>
        <w:rPr>
          <w:iCs/>
          <w:i/>
        </w:rPr>
        <w:t xml:space="preserve">‘</w:t>
      </w:r>
      <w:r>
        <w:rPr>
          <w:iCs/>
          <w:i/>
        </w:rPr>
        <w:t xml:space="preserve">associational</w:t>
      </w:r>
      <w:r>
        <w:rPr>
          <w:iCs/>
          <w:i/>
        </w:rPr>
        <w:t xml:space="preserve">’</w:t>
      </w:r>
      <w:r>
        <w:rPr>
          <w:iCs/>
          <w:i/>
        </w:rPr>
        <w:t xml:space="preserve"> </w:t>
      </w:r>
      <w:r>
        <w:rPr>
          <w:iCs/>
          <w:i/>
        </w:rPr>
        <w:t xml:space="preserve">nhất quán xuyên suốt.</w:t>
      </w:r>
      <w:r>
        <w:rPr>
          <w:iCs/>
          <w:i/>
        </w:rPr>
        <w:t xml:space="preserve">”</w:t>
      </w:r>
    </w:p>
    <w:p>
      <w:r>
        <w:pict>
          <v:rect style="width:0;height:1.5pt" o:hralign="center" o:hrstd="t" o:hr="t"/>
        </w:pict>
      </w:r>
    </w:p>
    <w:bookmarkEnd w:id="29"/>
    <w:bookmarkStart w:id="30" w:name="X3afe906891f7770c6d75ff602422be875cc325d"/>
    <w:p>
      <w:pPr>
        <w:pStyle w:val="Heading3"/>
      </w:pPr>
      <w:r>
        <w:t xml:space="preserve">Q2.3:</w:t>
      </w:r>
      <w:r>
        <w:t xml:space="preserve"> </w:t>
      </w:r>
      <w:r>
        <w:t xml:space="preserve">“</w:t>
      </w:r>
      <w:r>
        <w:t xml:space="preserve">Tại sao chọn WBES thay vì dữ liệu tài chính chi tiết hơn như Compustat hay panel hành chính?</w:t>
      </w:r>
      <w:r>
        <w:t xml:space="preserve">”</w:t>
      </w:r>
      <w:r>
        <w:t xml:space="preserve"> </w:t>
      </w:r>
      <w:r>
        <w:t xml:space="preserve">/</w:t>
      </w:r>
      <w:r>
        <w:t xml:space="preserve"> </w:t>
      </w:r>
      <w:r>
        <w:t xml:space="preserve">“</w:t>
      </w:r>
      <w:r>
        <w:t xml:space="preserve">Why WBES rather than richer data like Compustat or administrative panels?</w:t>
      </w:r>
      <w:r>
        <w:t xml:space="preserve">”</w:t>
      </w:r>
    </w:p>
    <w:p>
      <w:pPr>
        <w:pStyle w:val="FirstParagraph"/>
      </w:pPr>
      <w:r>
        <w:rPr>
          <w:bCs/>
          <w:b/>
        </w:rPr>
        <w:t xml:space="preserve">Anchor answer:</w:t>
      </w:r>
      <w:r>
        <w:t xml:space="preserve"> </w:t>
      </w:r>
      <w:r>
        <w:rPr>
          <w:iCs/>
          <w:i/>
        </w:rPr>
        <w:t xml:space="preserve">“</w:t>
      </w:r>
      <w:r>
        <w:rPr>
          <w:iCs/>
          <w:i/>
        </w:rPr>
        <w:t xml:space="preserve">WBES là bộ dữ liệu doanh nghiệp chuẩn hóa duy nhất bao phủ đầy đủ 45–47 nền kinh tế đa dạng thể chế ở châu Á và Thái Bình Dương — bao gồm cả nhóm SIDS không tồn tại trong các bộ dữ liệu khác. Compustat thiên về Bắc Mỹ và Tây Âu, không bao phủ Pacific SIDS. Panel hành chính tồn tại trong từng quốc gia nhưng không cross-comparable. Trade-off: chúng tôi mất chiều panel firm-level theo thời gian (WBES là repeated cross-sections), nhưng đạt được biến thiên thể chế là chiều đặc trưng của câu hỏi nghiên cứu.</w:t>
      </w:r>
      <w:r>
        <w:rPr>
          <w:iCs/>
          <w:i/>
        </w:rPr>
        <w:t xml:space="preserve">”</w:t>
      </w:r>
    </w:p>
    <w:p>
      <w:r>
        <w:pict>
          <v:rect style="width:0;height:1.5pt" o:hralign="center" o:hrstd="t" o:hr="t"/>
        </w:pict>
      </w:r>
    </w:p>
    <w:bookmarkEnd w:id="30"/>
    <w:bookmarkStart w:id="31" w:name="Xb4cbb2a0c81a310f60a51575f118e4095e201eb"/>
    <w:p>
      <w:pPr>
        <w:pStyle w:val="Heading3"/>
      </w:pPr>
      <w:r>
        <w:t xml:space="preserve">Q2.4:</w:t>
      </w:r>
      <w:r>
        <w:t xml:space="preserve"> </w:t>
      </w:r>
      <w:r>
        <w:t xml:space="preserve">“</w:t>
      </w:r>
      <w:r>
        <w:t xml:space="preserve">Bạn không cảm thấy bài viết phụ thuộc quá nhiều vào AI tool? Bạn có disclose AI use không?</w:t>
      </w:r>
      <w:r>
        <w:t xml:space="preserve">”</w:t>
      </w:r>
      <w:r>
        <w:t xml:space="preserve"> </w:t>
      </w:r>
      <w:r>
        <w:t xml:space="preserve">/</w:t>
      </w:r>
      <w:r>
        <w:t xml:space="preserve"> </w:t>
      </w:r>
      <w:r>
        <w:t xml:space="preserve">“</w:t>
      </w:r>
      <w:r>
        <w:t xml:space="preserve">Don’t you feel the papers rely too heavily on AI tools? Did you disclose AI use?</w:t>
      </w:r>
      <w:r>
        <w:t xml:space="preserve">”</w:t>
      </w:r>
    </w:p>
    <w:p>
      <w:pPr>
        <w:pStyle w:val="FirstParagraph"/>
      </w:pPr>
      <w:r>
        <w:rPr>
          <w:bCs/>
          <w:b/>
        </w:rPr>
        <w:t xml:space="preserve">Anchor answer:</w:t>
      </w:r>
      <w:r>
        <w:t xml:space="preserve"> </w:t>
      </w:r>
      <w:r>
        <w:rPr>
          <w:iCs/>
          <w:i/>
        </w:rPr>
        <w:t xml:space="preserve">“</w:t>
      </w:r>
      <w:r>
        <w:rPr>
          <w:iCs/>
          <w:i/>
        </w:rPr>
        <w:t xml:space="preserve">Vâng, mọi bài viết đều có disclosure rõ ràng theo policy của tạp chí mục tiêu — Springer cho P3/P4/P6, Elsevier cho P8. AI được dùng cho language editing, structure suggestion, và documentation. Toàn bộ conceptual framing, hypothesis development, empirical analysis, results interpretation, và final wording đều do tác giả người thực hiện và chịu trách nhiệm. Đây là chuẩn disclosure hiện tại của field — không che giấu, không miễn trừ trách nhiệm.</w:t>
      </w:r>
      <w:r>
        <w:rPr>
          <w:iCs/>
          <w:i/>
        </w:rPr>
        <w:t xml:space="preserve">”</w:t>
      </w:r>
    </w:p>
    <w:p>
      <w:r>
        <w:pict>
          <v:rect style="width:0;height:1.5pt" o:hralign="center" o:hrstd="t" o:hr="t"/>
        </w:pict>
      </w:r>
    </w:p>
    <w:bookmarkEnd w:id="31"/>
    <w:bookmarkStart w:id="32" w:name="X713435fdcc6b703824a93fd1c8c4f9d10ebd4fb"/>
    <w:p>
      <w:pPr>
        <w:pStyle w:val="Heading3"/>
      </w:pPr>
      <w:r>
        <w:t xml:space="preserve">Q2.5:</w:t>
      </w:r>
      <w:r>
        <w:t xml:space="preserve"> </w:t>
      </w:r>
      <w:r>
        <w:t xml:space="preserve">“</w:t>
      </w:r>
      <w:r>
        <w:t xml:space="preserve">Mekong Delta — hàm ý chính sách của bạn có dựa trên evidence cụ thể từ vùng này không?</w:t>
      </w:r>
      <w:r>
        <w:t xml:space="preserve">”</w:t>
      </w:r>
      <w:r>
        <w:t xml:space="preserve"> </w:t>
      </w:r>
      <w:r>
        <w:t xml:space="preserve">/</w:t>
      </w:r>
      <w:r>
        <w:t xml:space="preserve"> </w:t>
      </w:r>
      <w:r>
        <w:t xml:space="preserve">“</w:t>
      </w:r>
      <w:r>
        <w:t xml:space="preserve">Mekong Delta — are your policy implications based on specific evidence from this region?</w:t>
      </w:r>
      <w:r>
        <w:t xml:space="preserve">”</w:t>
      </w:r>
    </w:p>
    <w:p>
      <w:pPr>
        <w:pStyle w:val="FirstParagraph"/>
      </w:pPr>
      <w:r>
        <w:rPr>
          <w:bCs/>
          <w:b/>
        </w:rPr>
        <w:t xml:space="preserve">Anchor answer:</w:t>
      </w:r>
      <w:r>
        <w:t xml:space="preserve"> </w:t>
      </w:r>
      <w:r>
        <w:rPr>
          <w:iCs/>
          <w:i/>
        </w:rPr>
        <w:t xml:space="preserve">“</w:t>
      </w:r>
      <w:r>
        <w:rPr>
          <w:iCs/>
          <w:i/>
        </w:rPr>
        <w:t xml:space="preserve">Hàm ý cho vùng Mekong (Ch5 §5.4.4) dựa trên ba bằng chứng: (a) P3 Việt Nam xác nhận turning point khoảng 39–46% FSTS cho toàn quốc — vùng Mekong nằm cùng bối cảnh thể chế; (b) cấu trúc xuất khẩu thủy sản và gạo của vùng có FSTS cấu trúc cao (&gt;50% phổ biến) — phía bên phải turning point; (c) bằng chứng P4 Singapore về DAI Tier-1+2 amplification gợi ý lộ trình thực tế: nâng cấp blockchain truy xuất nguồn gốc + ERP-payment integration là Tier-2 substitution cho khoảng trống thể chế. Tôi không khẳng định mẫu Mekong cụ thể; tôi áp dụng evidence từ mẫu toàn quốc cho vùng có cấu trúc xuất khẩu thuộc nhóm phải-của-turning-point.</w:t>
      </w:r>
      <w:r>
        <w:rPr>
          <w:iCs/>
          <w:i/>
        </w:rPr>
        <w:t xml:space="preserve">”</w:t>
      </w:r>
    </w:p>
    <w:p>
      <w:r>
        <w:pict>
          <v:rect style="width:0;height:1.5pt" o:hralign="center" o:hrstd="t" o:hr="t"/>
        </w:pict>
      </w:r>
    </w:p>
    <w:bookmarkEnd w:id="32"/>
    <w:bookmarkEnd w:id="33"/>
    <w:bookmarkStart w:id="40" w:name="X9b670e3c0ae353858cf45ca7ab7be98a6f21f5d"/>
    <w:p>
      <w:pPr>
        <w:pStyle w:val="Heading2"/>
      </w:pPr>
      <w:r>
        <w:t xml:space="preserve">Tier 3 — Possible questions (have key numbers ready)</w:t>
      </w:r>
    </w:p>
    <w:bookmarkStart w:id="34" w:name="X32e3280525600fe76d272d00298112d597aa72f"/>
    <w:p>
      <w:pPr>
        <w:pStyle w:val="Heading3"/>
      </w:pPr>
      <w:r>
        <w:t xml:space="preserve">Q3.1:</w:t>
      </w:r>
      <w:r>
        <w:t xml:space="preserve"> </w:t>
      </w:r>
      <w:r>
        <w:t xml:space="preserve">“</w:t>
      </w:r>
      <w:r>
        <w:t xml:space="preserve">Singapore tại sao có turning point ~82% trong khi Vietnam ~40%?</w:t>
      </w:r>
      <w:r>
        <w:t xml:space="preserve">”</w:t>
      </w:r>
    </w:p>
    <w:p>
      <w:pPr>
        <w:pStyle w:val="FirstParagraph"/>
      </w:pPr>
      <w:r>
        <w:t xml:space="preserve">Brief answer: institutional regime difference; Singapore = advanced-economy ceiling (ICRV I, near-saturated digital), Vietnam = transitional (ICRV III/IV); curvature is shallower in Singapore consistent with CDCM prediction.</w:t>
      </w:r>
    </w:p>
    <w:bookmarkEnd w:id="34"/>
    <w:bookmarkStart w:id="35" w:name="X0edbb153c94742723c34f8f9580360e307cc715"/>
    <w:p>
      <w:pPr>
        <w:pStyle w:val="Heading3"/>
      </w:pPr>
      <w:r>
        <w:t xml:space="preserve">Q3.2:</w:t>
      </w:r>
      <w:r>
        <w:t xml:space="preserve"> </w:t>
      </w:r>
      <w:r>
        <w:t xml:space="preserve">“</w:t>
      </w:r>
      <w:r>
        <w:t xml:space="preserve">Three-level meta-analysis có over-fit không?</w:t>
      </w:r>
      <w:r>
        <w:t xml:space="preserve">”</w:t>
      </w:r>
    </w:p>
    <w:p>
      <w:pPr>
        <w:pStyle w:val="FirstParagraph"/>
      </w:pPr>
      <w:r>
        <w:t xml:space="preserve">Brief answer: REML estimator with k = 238 / K = 288 against 3 variance components is well-identified per Cheung (2014) sample-size guidance; we report compound-symmetric within-study covariance and independently verified via Python</w:t>
      </w:r>
      <w:r>
        <w:t xml:space="preserve"> </w:t>
      </w:r>
      <w:r>
        <w:rPr>
          <w:rStyle w:val="VerbatimChar"/>
        </w:rPr>
        <w:t xml:space="preserve">verify_moderator_qm.py</w:t>
      </w:r>
      <w:r>
        <w:t xml:space="preserve"> </w:t>
      </w:r>
      <w:r>
        <w:t xml:space="preserve">cross-check.</w:t>
      </w:r>
    </w:p>
    <w:bookmarkEnd w:id="35"/>
    <w:bookmarkStart w:id="36" w:name="X13b02fd7480d006bce173d1c5b28f1763d99fd6"/>
    <w:p>
      <w:pPr>
        <w:pStyle w:val="Heading3"/>
      </w:pPr>
      <w:r>
        <w:t xml:space="preserve">Q3.3:</w:t>
      </w:r>
      <w:r>
        <w:t xml:space="preserve"> </w:t>
      </w:r>
      <w:r>
        <w:t xml:space="preserve">“</w:t>
      </w:r>
      <w:r>
        <w:t xml:space="preserve">Forest plot ICRV Frontier cell với K = 3 — bạn vẫn báo cáo nó?</w:t>
      </w:r>
      <w:r>
        <w:t xml:space="preserve">”</w:t>
      </w:r>
    </w:p>
    <w:p>
      <w:pPr>
        <w:pStyle w:val="FirstParagraph"/>
      </w:pPr>
      <w:r>
        <w:t xml:space="preserve">Brief answer: Yes, but framed honestly. The full-sample Q_M = 17.35 (p = .002) is driven by this small cell; drop-Frontier core-regime Q_M = 1.49 (p = .68). We report both and label the Frontier point estimate (r̄ = 0.349, K = 3) as an unreliable signal. Honest disclosure rather than concealment.</w:t>
      </w:r>
    </w:p>
    <w:bookmarkEnd w:id="36"/>
    <w:bookmarkStart w:id="37" w:name="X920c94447a342633d09030a2201afa0796ebe66"/>
    <w:p>
      <w:pPr>
        <w:pStyle w:val="Heading3"/>
      </w:pPr>
      <w:r>
        <w:t xml:space="preserve">Q3.4:</w:t>
      </w:r>
      <w:r>
        <w:t xml:space="preserve"> </w:t>
      </w:r>
      <w:r>
        <w:t xml:space="preserve">“</w:t>
      </w:r>
      <w:r>
        <w:t xml:space="preserve">Manager characteristics (H4) — bạn xếp loại là kiểm soát chứ không phải moderator. Có nhất quán không?</w:t>
      </w:r>
      <w:r>
        <w:t xml:space="preserve">”</w:t>
      </w:r>
    </w:p>
    <w:p>
      <w:pPr>
        <w:pStyle w:val="FirstParagraph"/>
      </w:pPr>
      <w:r>
        <w:t xml:space="preserve">Brief answer: Yes, explicitly justified in Ch2 §2.5.3 methodological note. The label</w:t>
      </w:r>
      <w:r>
        <w:t xml:space="preserve"> </w:t>
      </w:r>
      <w:r>
        <w:t xml:space="preserve">“</w:t>
      </w:r>
      <w:r>
        <w:t xml:space="preserve">H4</w:t>
      </w:r>
      <w:r>
        <w:t xml:space="preserve">”</w:t>
      </w:r>
      <w:r>
        <w:t xml:space="preserve"> </w:t>
      </w:r>
      <w:r>
        <w:t xml:space="preserve">is retained for companion-paper compatibility but the methodological role is endogeneity control, not curvature moderation. Acknowledged that a formal reviewer could request renaming to</w:t>
      </w:r>
      <w:r>
        <w:t xml:space="preserve"> </w:t>
      </w:r>
      <w:r>
        <w:t xml:space="preserve">“</w:t>
      </w:r>
      <w:r>
        <w:t xml:space="preserve">Control Block C1</w:t>
      </w:r>
      <w:r>
        <w:t xml:space="preserve">”</w:t>
      </w:r>
      <w:r>
        <w:t xml:space="preserve">; the dispute is documented and tracked for revision.</w:t>
      </w:r>
    </w:p>
    <w:bookmarkEnd w:id="37"/>
    <w:bookmarkStart w:id="38" w:name="X2e28ae0a4c6570da43bd8fb9d1fb01c2d144c43"/>
    <w:p>
      <w:pPr>
        <w:pStyle w:val="Heading3"/>
      </w:pPr>
      <w:r>
        <w:t xml:space="preserve">Q3.5:</w:t>
      </w:r>
      <w:r>
        <w:t xml:space="preserve"> </w:t>
      </w:r>
      <w:r>
        <w:t xml:space="preserve">“</w:t>
      </w:r>
      <w:r>
        <w:t xml:space="preserve">Vietnam Tier-1 DAI null vs Singapore Tier-1+2 DAI significant — có chắc là measurement boundary chứ không phải saturation?</w:t>
      </w:r>
      <w:r>
        <w:t xml:space="preserve">”</w:t>
      </w:r>
    </w:p>
    <w:p>
      <w:pPr>
        <w:pStyle w:val="FirstParagraph"/>
      </w:pPr>
      <w:r>
        <w:t xml:space="preserve">Brief answer: Both interpretations are consistent with the data; we present them as complementary, not alternative. P3 §5.1 explicitly: Tier-1 in Vietnam 2023 is approaching population-diffusion ceiling (49.8% website ownership) and may be proxy-obsolescent; P4 §3.2.3 R1 sensitivity diagnostic restricting Singapore DAI to Tier-1-only causes the quadratic interaction to weaken substantially (β from +3.119 to ~+1.55). The data are consistent with the joint claim: Tier-1 alone is insufficient for the conditional-scaling mechanism to be detectable.</w:t>
      </w:r>
    </w:p>
    <w:bookmarkEnd w:id="38"/>
    <w:bookmarkStart w:id="39" w:name="q3.6-osf-z37kn-bạn-đã-upload-chưa"/>
    <w:p>
      <w:pPr>
        <w:pStyle w:val="Heading3"/>
      </w:pPr>
      <w:r>
        <w:t xml:space="preserve">Q3.6:</w:t>
      </w:r>
      <w:r>
        <w:t xml:space="preserve"> </w:t>
      </w:r>
      <w:r>
        <w:t xml:space="preserve">“</w:t>
      </w:r>
      <w:r>
        <w:t xml:space="preserve">OSF z37kn — bạn đã upload chưa?</w:t>
      </w:r>
      <w:r>
        <w:t xml:space="preserve">”</w:t>
      </w:r>
    </w:p>
    <w:p>
      <w:pPr>
        <w:pStyle w:val="FirstParagraph"/>
      </w:pPr>
      <w:r>
        <w:t xml:space="preserve">Brief answer (if uploaded by defense date):</w:t>
      </w:r>
      <w:r>
        <w:t xml:space="preserve"> </w:t>
      </w:r>
      <w:r>
        <w:t xml:space="preserve">“</w:t>
      </w:r>
      <w:r>
        <w:t xml:space="preserve">Yes, the deposit at https://osf.io/z37kn contains the pre-registration, the analyzed corpus (k = 238 study database), the metafor R scripts, the Python verification script, the gold-standard evaluation report, the PRISMA 2020 flow diagram, and the OSF supplementary materials document.</w:t>
      </w:r>
      <w:r>
        <w:t xml:space="preserve">”</w:t>
      </w:r>
      <w:r>
        <w:t xml:space="preserve"> </w:t>
      </w:r>
      <w:r>
        <w:t xml:space="preserve">If not uploaded by defense:</w:t>
      </w:r>
      <w:r>
        <w:t xml:space="preserve"> </w:t>
      </w:r>
      <w:r>
        <w:t xml:space="preserve">“</w:t>
      </w:r>
      <w:r>
        <w:t xml:space="preserve">The pre-registration is deposited and the manifest is documented in</w:t>
      </w:r>
      <w:r>
        <w:t xml:space="preserve"> </w:t>
      </w:r>
      <w:r>
        <w:rPr>
          <w:rStyle w:val="VerbatimChar"/>
        </w:rPr>
        <w:t xml:space="preserve">prisma_extraction_pipeline_status.md</w:t>
      </w:r>
      <w:r>
        <w:t xml:space="preserve">; the data and code components are scheduled for OSF upload before journal submission to maintain the public-deposit timeline cited in the manuscripts.</w:t>
      </w:r>
      <w:r>
        <w:t xml:space="preserve">”</w:t>
      </w:r>
    </w:p>
    <w:p>
      <w:r>
        <w:pict>
          <v:rect style="width:0;height:1.5pt" o:hralign="center" o:hrstd="t" o:hr="t"/>
        </w:pict>
      </w:r>
    </w:p>
    <w:bookmarkEnd w:id="39"/>
    <w:bookmarkEnd w:id="40"/>
    <w:bookmarkStart w:id="45" w:name="X7d8125370c21522553e955ac5021fc072ba12b5"/>
    <w:p>
      <w:pPr>
        <w:pStyle w:val="Heading2"/>
      </w:pPr>
      <w:r>
        <w:t xml:space="preserve">Tier 4 — Adversarial probes (be ready, but rare)</w:t>
      </w:r>
    </w:p>
    <w:bookmarkStart w:id="41" w:name="Xf5100f73dcf3172172c2a5883cbddf4634a8131"/>
    <w:p>
      <w:pPr>
        <w:pStyle w:val="Heading3"/>
      </w:pPr>
      <w:r>
        <w:t xml:space="preserve">Q4.1:</w:t>
      </w:r>
      <w:r>
        <w:t xml:space="preserve"> </w:t>
      </w:r>
      <w:r>
        <w:t xml:space="preserve">“</w:t>
      </w:r>
      <w:r>
        <w:t xml:space="preserve">Vietnam Latvia University of Technology — bạn có affiliation kép. Có conflict of interest không?</w:t>
      </w:r>
      <w:r>
        <w:t xml:space="preserve">”</w:t>
      </w:r>
    </w:p>
    <w:p>
      <w:pPr>
        <w:pStyle w:val="FirstParagraph"/>
      </w:pPr>
      <w:r>
        <w:t xml:space="preserve">Brief answer: VLUTE is my primary employer institution; CTU is my doctoral institution. Both affiliations are disclosed in the relevant papers’ title pages. There is no commercial conflict — both are public Vietnamese higher-education institutions with no financial stake in the research findings.</w:t>
      </w:r>
    </w:p>
    <w:bookmarkEnd w:id="41"/>
    <w:bookmarkStart w:id="42" w:name="Xbe0553e37a678e8e7c638c4ecb0ef34875a6d61"/>
    <w:p>
      <w:pPr>
        <w:pStyle w:val="Heading3"/>
      </w:pPr>
      <w:r>
        <w:t xml:space="preserve">Q4.2:</w:t>
      </w:r>
      <w:r>
        <w:t xml:space="preserve"> </w:t>
      </w:r>
      <w:r>
        <w:t xml:space="preserve">“</w:t>
      </w:r>
      <w:r>
        <w:t xml:space="preserve">Pisani et al. (2020) trong P3 §1.2 — kết quả của họ liên quan thế nào đến claim của bạn?</w:t>
      </w:r>
      <w:r>
        <w:t xml:space="preserve">”</w:t>
      </w:r>
    </w:p>
    <w:p>
      <w:pPr>
        <w:pStyle w:val="FirstParagraph"/>
      </w:pPr>
      <w:r>
        <w:t xml:space="preserve">Brief answer: Pisani et al. (2020 SMJ) showed cross-national pooled samples can artifactually inflate apparent inverted-U regularity that does not survive within-country analysis. P3’s Vietnam evidence corroborates their concern: within Vietnam, the apparent inverted-U is best read as a step-function across the export-participation barrier (Melitz 2003 + Wagner 2007 + Bernard et al. 2007 mechanism), not as within-exporter saturation. We</w:t>
      </w:r>
      <w:r>
        <w:t xml:space="preserve"> </w:t>
      </w:r>
      <w:r>
        <w:rPr>
          <w:iCs/>
          <w:i/>
        </w:rPr>
        <w:t xml:space="preserve">qualify</w:t>
      </w:r>
      <w:r>
        <w:t xml:space="preserve"> </w:t>
      </w:r>
      <w:r>
        <w:t xml:space="preserve">rather than</w:t>
      </w:r>
      <w:r>
        <w:t xml:space="preserve"> </w:t>
      </w:r>
      <w:r>
        <w:rPr>
          <w:iCs/>
          <w:i/>
        </w:rPr>
        <w:t xml:space="preserve">overturn</w:t>
      </w:r>
      <w:r>
        <w:t xml:space="preserve"> </w:t>
      </w:r>
      <w:r>
        <w:t xml:space="preserve">their cross-national skepticism.</w:t>
      </w:r>
    </w:p>
    <w:bookmarkEnd w:id="42"/>
    <w:bookmarkStart w:id="43" w:name="X2a85e747404560f52b5d3487d7a770c87c67791"/>
    <w:p>
      <w:pPr>
        <w:pStyle w:val="Heading3"/>
      </w:pPr>
      <w:r>
        <w:t xml:space="preserve">Q4.3:</w:t>
      </w:r>
      <w:r>
        <w:t xml:space="preserve"> </w:t>
      </w:r>
      <w:r>
        <w:t xml:space="preserve">“</w:t>
      </w:r>
      <w:r>
        <w:t xml:space="preserve">Bayesian meta-regression — bạn có cân nhắc không?</w:t>
      </w:r>
      <w:r>
        <w:t xml:space="preserve">”</w:t>
      </w:r>
    </w:p>
    <w:p>
      <w:pPr>
        <w:pStyle w:val="FirstParagraph"/>
      </w:pPr>
      <w:r>
        <w:t xml:space="preserve">Brief answer: Yes, and we discuss it as a future-research direction (P6 §5.4(b)). Frequentist three-level MARA is the standard reporting convention in the I-P meta-analytic literature (Marano et al. 2016 used REML two-level; we extend to three-level); Bayesian with informative priors would tighten Frontier-cell estimates with limited k, and we recommend it for the follow-up study with the Path B expansion corpus.</w:t>
      </w:r>
    </w:p>
    <w:bookmarkEnd w:id="43"/>
    <w:bookmarkStart w:id="44" w:name="Xe390d180d182675a1dca3db2544be03dcd9fea5"/>
    <w:p>
      <w:pPr>
        <w:pStyle w:val="Heading3"/>
      </w:pPr>
      <w:r>
        <w:t xml:space="preserve">Q4.4:</w:t>
      </w:r>
      <w:r>
        <w:t xml:space="preserve"> </w:t>
      </w:r>
      <w:r>
        <w:t xml:space="preserve">“</w:t>
      </w:r>
      <w:r>
        <w:t xml:space="preserve">Bạn nói chương trình nghiên cứu — kế hoạch sau luận án là gì?</w:t>
      </w:r>
      <w:r>
        <w:t xml:space="preserve">”</w:t>
      </w:r>
    </w:p>
    <w:p>
      <w:pPr>
        <w:pStyle w:val="FirstParagraph"/>
      </w:pPr>
      <w:r>
        <w:t xml:space="preserve">Brief answer: Three immediate continuations: (a) Path B extraction completion → revised P6 at k ≈ 600–700 corpus to test the pre-registered moderators with adequate power; (b) Pacific SIDS extension using individual-participant-data meta-analysis if WBES Caribbean SIDS data becomes available, to test FIP generalizability beyond the Pacific sample; (c) Vietnamese policy-relevant follow-up using WBES 2026 wave (when released) plus administrative customs panel data to identify causal effects of the post-NDTP digital infrastructure rollout on Mekong Delta export productivity.</w:t>
      </w:r>
    </w:p>
    <w:p>
      <w:r>
        <w:pict>
          <v:rect style="width:0;height:1.5pt" o:hralign="center" o:hrstd="t" o:hr="t"/>
        </w:pict>
      </w:r>
    </w:p>
    <w:bookmarkEnd w:id="44"/>
    <w:bookmarkEnd w:id="45"/>
    <w:bookmarkStart w:id="46" w:name="X384790db4779bac512b6051f134b85ad12cf3dc"/>
    <w:p>
      <w:pPr>
        <w:pStyle w:val="Heading2"/>
      </w:pPr>
      <w:r>
        <w:t xml:space="preserve">Preparation checklist (T-minus 4 weeks before defense)</w:t>
      </w:r>
    </w:p>
    <w:p>
      <w:pPr>
        <w:numPr>
          <w:ilvl w:val="0"/>
          <w:numId w:val="1001"/>
        </w:numPr>
        <w:pStyle w:val="Compact"/>
      </w:pPr>
      <w:r>
        <w:t xml:space="preserve">☐ Memorize Tier 1 anchor answers (6 questions) until fluent in both Vietnamese and English</w:t>
      </w:r>
    </w:p>
    <w:p>
      <w:pPr>
        <w:numPr>
          <w:ilvl w:val="0"/>
          <w:numId w:val="1001"/>
        </w:numPr>
        <w:pStyle w:val="Compact"/>
      </w:pPr>
      <w:r>
        <w:t xml:space="preserve">☐ Familiarize with Tier 2 backup numbers (P6 Q_M, P3 turning points, P4 β estimates)</w:t>
      </w:r>
    </w:p>
    <w:p>
      <w:pPr>
        <w:numPr>
          <w:ilvl w:val="0"/>
          <w:numId w:val="1001"/>
        </w:numPr>
        <w:pStyle w:val="Compact"/>
      </w:pPr>
      <w:r>
        <w:t xml:space="preserve">☐ Bookmark these source paragraphs:</w:t>
      </w:r>
    </w:p>
    <w:p>
      <w:pPr>
        <w:numPr>
          <w:ilvl w:val="1"/>
          <w:numId w:val="1002"/>
        </w:numPr>
        <w:pStyle w:val="Compact"/>
      </w:pPr>
      <w:r>
        <w:t xml:space="preserve">P6 §5.2 paradox paragraph (Q1.3)</w:t>
      </w:r>
    </w:p>
    <w:p>
      <w:pPr>
        <w:numPr>
          <w:ilvl w:val="1"/>
          <w:numId w:val="1002"/>
        </w:numPr>
        <w:pStyle w:val="Compact"/>
      </w:pPr>
      <w:r>
        <w:t xml:space="preserve">P6 §3.1 deviation #4 + §3.3.2 (Q1.4)</w:t>
      </w:r>
    </w:p>
    <w:p>
      <w:pPr>
        <w:numPr>
          <w:ilvl w:val="1"/>
          <w:numId w:val="1002"/>
        </w:numPr>
        <w:pStyle w:val="Compact"/>
      </w:pPr>
      <w:r>
        <w:t xml:space="preserve">P8 §2.2 + §1.27 (Q1.5)</w:t>
      </w:r>
    </w:p>
    <w:p>
      <w:pPr>
        <w:numPr>
          <w:ilvl w:val="1"/>
          <w:numId w:val="1002"/>
        </w:numPr>
        <w:pStyle w:val="Compact"/>
      </w:pPr>
      <w:r>
        <w:t xml:space="preserve">P6 v1.3 §5.2 Contribution 2 (Q1.6)</w:t>
      </w:r>
    </w:p>
    <w:p>
      <w:pPr>
        <w:numPr>
          <w:ilvl w:val="1"/>
          <w:numId w:val="1002"/>
        </w:numPr>
        <w:pStyle w:val="Compact"/>
      </w:pPr>
      <w:r>
        <w:t xml:space="preserve">Ch2 §2.5.1 CDCM positioning (Q2.1)</w:t>
      </w:r>
    </w:p>
    <w:p>
      <w:pPr>
        <w:numPr>
          <w:ilvl w:val="0"/>
          <w:numId w:val="1001"/>
        </w:numPr>
        <w:pStyle w:val="Compact"/>
      </w:pPr>
      <w:r>
        <w:t xml:space="preserve">☐ Practice the 90-second elevator pitch (Q1.1) until natural</w:t>
      </w:r>
    </w:p>
    <w:p>
      <w:pPr>
        <w:numPr>
          <w:ilvl w:val="0"/>
          <w:numId w:val="1001"/>
        </w:numPr>
        <w:pStyle w:val="Compact"/>
      </w:pPr>
      <w:r>
        <w:t xml:space="preserve">☐ Have ready: 1-page visual abstract of the entire dissertation</w:t>
      </w:r>
    </w:p>
    <w:p>
      <w:pPr>
        <w:numPr>
          <w:ilvl w:val="0"/>
          <w:numId w:val="1001"/>
        </w:numPr>
        <w:pStyle w:val="Compact"/>
      </w:pPr>
      <w:r>
        <w:t xml:space="preserve">☐ Have ready: methodological summary table (papers × methods × sample × key statistics)</w:t>
      </w:r>
    </w:p>
    <w:p>
      <w:pPr>
        <w:numPr>
          <w:ilvl w:val="0"/>
          <w:numId w:val="1001"/>
        </w:numPr>
        <w:pStyle w:val="Compact"/>
      </w:pPr>
      <w:r>
        <w:t xml:space="preserve">☐ Run through this document with the supervisor in a mock defense session</w:t>
      </w:r>
    </w:p>
    <w:p>
      <w:r>
        <w:pict>
          <v:rect style="width:0;height:1.5pt" o:hralign="center" o:hrstd="t" o:hr="t"/>
        </w:pict>
      </w:r>
    </w:p>
    <w:p>
      <w:pPr>
        <w:pStyle w:val="FirstParagraph"/>
      </w:pPr>
      <w:r>
        <w:rPr>
          <w:iCs/>
          <w:i/>
        </w:rPr>
        <w:t xml:space="preserve">Document version: 1.0 (drafted 30 May 2026 as defense preparation companion. To be refined based on supervisor feedback and committee-specific anticipated questions before T-minus 4 weeks rehearsal block.)</w:t>
      </w:r>
    </w:p>
    <w:bookmarkEnd w:id="46"/>
    <w:bookmarkEnd w:id="4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2026-05-30T18:28:08Z</dcterms:created>
  <dcterms:modified xsi:type="dcterms:W3CDTF">2026-05-30T18:28:08Z</dcterms:modified>
</cp:coreProperties>
</file>

<file path=docProps/custom.xml><?xml version="1.0" encoding="utf-8"?>
<Properties xmlns="http://schemas.openxmlformats.org/officeDocument/2006/custom-properties" xmlns:vt="http://schemas.openxmlformats.org/officeDocument/2006/docPropsVTypes"/>
</file>