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wbes-cross-wave-harmonization-protocol"/>
    <w:p>
      <w:pPr>
        <w:pStyle w:val="Heading1"/>
      </w:pPr>
      <w:r>
        <w:t xml:space="preserve">WBES Cross-Wave Harmonization Protocol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document specifies the item-code mappings, decision rules, and validation diagnostics used to harmonize World Bank Enterprise Survey (WBES) microdata across three schema generations (PICS3 2009–2013, Standardized 2014–2018, BREADY/BEE 2019–2025) for the dissertation’s component papers P3 (Vietnam, three waves), P4 (Singapore, single wave), P5 (China, two waves), P7 (45 economies, pooled), and P8 (Pacific SIDS, multi-wave pool). It is the methodological reference companion to Chapter 3 §3.3 of the dissertation and to the methodological sections of each component paper.</w:t>
      </w:r>
    </w:p>
    <w:p>
      <w:pPr>
        <w:pStyle w:val="BodyText"/>
      </w:pPr>
      <w:r>
        <w:rPr>
          <w:bCs/>
          <w:b/>
        </w:rPr>
        <w:t xml:space="preserve">Status.</w:t>
      </w:r>
      <w:r>
        <w:t xml:space="preserve"> </w:t>
      </w:r>
      <w:r>
        <w:t xml:space="preserve">Internal methodological documentation. Not for journal submission as an independent piece; rather, designated for the dissertation’s appendix and for the OSF z37kn supplementary materials so that reviewers and replicators can verify the harmonization decisions independently.</w:t>
      </w:r>
    </w:p>
    <w:p>
      <w:r>
        <w:pict>
          <v:rect style="width:0;height:1.5pt" o:hralign="center" o:hrstd="t" o:hr="t"/>
        </w:pict>
      </w:r>
    </w:p>
    <w:bookmarkStart w:id="20" w:name="the-three-wbes-schema-generations"/>
    <w:p>
      <w:pPr>
        <w:pStyle w:val="Heading2"/>
      </w:pPr>
      <w:r>
        <w:t xml:space="preserve">1. The three WBES schema generations</w:t>
      </w:r>
    </w:p>
    <w:p>
      <w:pPr>
        <w:pStyle w:val="FirstParagraph"/>
      </w:pPr>
      <w:r>
        <w:t xml:space="preserve">The WBES instrument has been revised twice during the 2009–2025 observation window: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2009–2013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and Investment Climate Survey, 3rd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Manufacturing-oriented questionnaire; ICT module limited to website, email, basic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2014–2018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Enterprise Survey Manufacturing +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Harmonized core items across services and manufacturing; expanded innovation module (h1, h8); first formal R&amp;D expenditure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BREADY / BEE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Ready / Business Enabling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Re-engineered digital module: electronic payments (k33, k38), formal innovation outcomes (h1 retained, h8 retained with refined wording), foreign technology licensing (e6/h6 alignment), broader sample frame including 5–19 employee firms (was 5+ in PICS3)</w:t>
            </w:r>
          </w:p>
        </w:tc>
      </w:tr>
    </w:tbl>
    <w:p>
      <w:pPr>
        <w:pStyle w:val="BodyText"/>
      </w:pPr>
      <w:r>
        <w:t xml:space="preserve">The empirical consequence: an item used in 2009 may exist with the</w:t>
      </w:r>
      <w:r>
        <w:t xml:space="preserve"> </w:t>
      </w:r>
      <w:r>
        <w:rPr>
          <w:iCs/>
          <w:i/>
        </w:rPr>
        <w:t xml:space="preserve">same code</w:t>
      </w:r>
      <w:r>
        <w:t xml:space="preserve"> </w:t>
      </w:r>
      <w:r>
        <w:t xml:space="preserve">but slightly different</w:t>
      </w:r>
      <w:r>
        <w:t xml:space="preserve"> </w:t>
      </w:r>
      <w:r>
        <w:rPr>
          <w:iCs/>
          <w:i/>
        </w:rPr>
        <w:t xml:space="preserve">survey wording</w:t>
      </w:r>
      <w:r>
        <w:t xml:space="preserve"> </w:t>
      </w:r>
      <w:r>
        <w:t xml:space="preserve">in 2023, or may have been</w:t>
      </w:r>
      <w:r>
        <w:t xml:space="preserve"> </w:t>
      </w:r>
      <w:r>
        <w:rPr>
          <w:iCs/>
          <w:i/>
        </w:rPr>
        <w:t xml:space="preserve">renumbered</w:t>
      </w:r>
      <w:r>
        <w:t xml:space="preserve"> </w:t>
      </w:r>
      <w:r>
        <w:t xml:space="preserve">(e.g., a4b in 2009 → a4a in 2023), or may have been</w:t>
      </w:r>
      <w:r>
        <w:t xml:space="preserve"> </w:t>
      </w:r>
      <w:r>
        <w:rPr>
          <w:iCs/>
          <w:i/>
        </w:rPr>
        <w:t xml:space="preserve">split</w:t>
      </w:r>
      <w:r>
        <w:t xml:space="preserve"> </w:t>
      </w:r>
      <w:r>
        <w:t xml:space="preserve">into multiple items (e.g., separate customer-side k33 and supplier-side k38 in BREADY). Harmonization is therefore not</w:t>
      </w:r>
      <w:r>
        <w:t xml:space="preserve"> </w:t>
      </w:r>
      <w:r>
        <w:t xml:space="preserve">“</w:t>
      </w:r>
      <w:r>
        <w:t xml:space="preserve">rename one variable</w:t>
      </w:r>
      <w:r>
        <w:t xml:space="preserve">”</w:t>
      </w:r>
      <w:r>
        <w:t xml:space="preserve">; it is</w:t>
      </w:r>
      <w:r>
        <w:t xml:space="preserve"> </w:t>
      </w:r>
      <w:r>
        <w:t xml:space="preserve">“</w:t>
      </w:r>
      <w:r>
        <w:t xml:space="preserve">verify item-by-item semantic equivalence across the three generations.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item-by-item-harmonization-decisions"/>
    <w:p>
      <w:pPr>
        <w:pStyle w:val="Heading2"/>
      </w:pPr>
      <w:r>
        <w:t xml:space="preserve">2. Item-by-item harmonization decisions</w:t>
      </w:r>
    </w:p>
    <w:bookmarkStart w:id="21" w:name="Xf756144951e781a74d73daf0cdc8c4ce1ff1646"/>
    <w:p>
      <w:pPr>
        <w:pStyle w:val="Heading3"/>
      </w:pPr>
      <w:r>
        <w:t xml:space="preserve">2.1 Dependent-variable items (firm performance)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(PICS3)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(Standardized)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(manufacturing) / n3 (services)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d2 if present; fall back to n3 in BREADY services; PPP-deflate to the survey year using World Bank ICP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full-time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across waves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labor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ln(d2/l1)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ln(d2/l1)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ln(d2 or n3 /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PPP-deflation, winsorize at 1st and 99th percentiles within wave to mitigate outlier influence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(sensitivity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d2 −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d2 −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d2 −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as profit divided by sales when both items reported; otherwise treated as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Cross-wave validation diagnostic.</w:t>
      </w:r>
      <w:r>
        <w:t xml:space="preserve"> </w:t>
      </w:r>
      <w:r>
        <w:t xml:space="preserve">A naive pooled ln(d2/l1) regression across waves shows a monotonically rising intercept (Vietnam: 19.41 in 2009 → 20.04 in 2015 → 20.55 in 2023; P3 Table 2). This is consistent with macroeconomic productivity convergence over the 14-year window,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measurement artifact. Pooled specifications absorb the level shift with wave fixed effects.</w:t>
      </w:r>
    </w:p>
    <w:bookmarkEnd w:id="21"/>
    <w:bookmarkStart w:id="22" w:name="Xdcb5d37207eef567d8c2d878dc234cbacd87f4d"/>
    <w:p>
      <w:pPr>
        <w:pStyle w:val="Heading3"/>
      </w:pPr>
      <w:r>
        <w:t xml:space="preserve">2.2 Internationalization items (independent variable)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(PICS3)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(Standardized)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Direct-export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wording:</w:t>
            </w:r>
            <w:r>
              <w:t xml:space="preserve"> </w:t>
            </w:r>
            <w:r>
              <w:t xml:space="preserve">“</w:t>
            </w:r>
            <w:r>
              <w:t xml:space="preserve">What % of sales did direct exports represent in the last completed fiscal year?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Indirect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in any analysis; FSTS is direct-export-only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d3c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Rescaled to the [0, 1] interval before mean-centering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Mean-centering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FSTS_c = FSTS − mean_wave(FSTS); applied before squaring to mitigate multicollinearity between linear and quadratic terms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d3c is one of the few WBES items present and identically worded across all three schema generations. The mean-centering choice (within-wave) handles the fact that the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of FSTS varies across waves (Vietnam: 0.168 in 2009 → 0.119 in 2015 → 0.131 in 2023; P3 Table 2) while preserving within-wave variation, which is the substantive quantity of interest for curvature analysis.</w:t>
      </w:r>
    </w:p>
    <w:bookmarkEnd w:id="22"/>
    <w:bookmarkStart w:id="23" w:name="Xa848ca8ce34474b85db11df0390840ab68d3e9c"/>
    <w:p>
      <w:pPr>
        <w:pStyle w:val="Heading3"/>
      </w:pPr>
      <w:r>
        <w:t xml:space="preserve">2.3 Technological capability items (TCI composite)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(PICS3)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(Standardized)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Internationally recognized quality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wording: ISO 9000, ISO 9002, HACCP. Recoded from WBES 1/2 to binary 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Foreign-licensed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wording:</w:t>
            </w:r>
            <w:r>
              <w:t xml:space="preserve"> </w:t>
            </w:r>
            <w:r>
              <w:t xml:space="preserve">“</w:t>
            </w:r>
            <w:r>
              <w:t xml:space="preserve">Does this establishment use technology licensed from a foreign-owned company?</w:t>
            </w:r>
            <w:r>
              <w:t xml:space="preserve">”</w:t>
            </w:r>
            <w:r>
              <w:t xml:space="preserve"> </w:t>
            </w:r>
            <w:r>
              <w:t xml:space="preserve">Recoded 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PICS3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only from 2015. Used in TCI_full (P4 Singapore, P5 China 2024) but NOT in cross-wave-comparable TCI_z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expenditure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PICS3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only from 2015. Used in TCI_full but NOT in cross-wave-comparable TCI_z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rule for cross-wave-comparable TCI_z:</w:t>
      </w:r>
      <w:r>
        <w:t xml:space="preserve"> </w:t>
      </w:r>
      <w:r>
        <w:t xml:space="preserve">&gt; TCI_z = within-wave z-standardize of mean(b8_01, e6_01)</w:t>
      </w:r>
      <w:r>
        <w:t xml:space="preserve"> </w:t>
      </w:r>
      <w:r>
        <w:t xml:space="preserve">&gt; where b8_01 and e6_01 are the binary 0/1 recodes of the original 1/2 WBES values.</w:t>
      </w:r>
    </w:p>
    <w:p>
      <w:pPr>
        <w:pStyle w:val="BodyText"/>
      </w:pPr>
      <w:r>
        <w:t xml:space="preserve">This is the most defensible cross-wave-comparable TCI definition because b8 and e6 are the only TCI-relevant items present and identically worded in all three generations. The Vietnam P3 paper uses this strict cross-wave-comparable definition. P4 Singapore (single wave 2023) uses the richer TCI_full that adds h1 and h8 because cross-wave comparability is not at stake.</w:t>
      </w:r>
    </w:p>
    <w:bookmarkEnd w:id="23"/>
    <w:bookmarkStart w:id="24" w:name="digital-adoption-items-dai-composite"/>
    <w:p>
      <w:pPr>
        <w:pStyle w:val="Heading3"/>
      </w:pPr>
      <w:r>
        <w:t xml:space="preserve">2.4 Digital adoption items (DAI composite)</w:t>
      </w:r>
    </w:p>
    <w:p>
      <w:pPr>
        <w:pStyle w:val="FirstParagraph"/>
      </w:pPr>
      <w:r>
        <w:t xml:space="preserve">This is the most consequential harmonization decision because the WBES digital module differs</w:t>
      </w:r>
      <w:r>
        <w:t xml:space="preserve"> </w:t>
      </w:r>
      <w:r>
        <w:rPr>
          <w:iCs/>
          <w:i/>
        </w:rPr>
        <w:t xml:space="preserve">substantially</w:t>
      </w:r>
      <w:r>
        <w:t xml:space="preserve"> </w:t>
      </w:r>
      <w:r>
        <w:t xml:space="preserve">across generations.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(PICS3)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(Standardized)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— Digital presence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wording. Recoded 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(deprecated; near-universal by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in any DAI variant because near-universal by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— Transaction-enabling digital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Customer-side electronic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PICS3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% of your sales were received via electronic payment in the last completed fiscal year?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Supplier-side electronic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PICS3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% of your purchases were paid via electronic payment in the last completed fiscal year?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rule for cross-wave-comparable DAI_z (used in P3 Vietnam):</w:t>
      </w:r>
      <w:r>
        <w:t xml:space="preserve"> </w:t>
      </w:r>
      <w:r>
        <w:t xml:space="preserve">&gt; DAI_z = within-wave z-standardize of c22b_01 (website binary, single item).</w:t>
      </w:r>
      <w:r>
        <w:t xml:space="preserve"> </w:t>
      </w:r>
      <w:r>
        <w:t xml:space="preserve">&gt;</w:t>
      </w:r>
      <w:r>
        <w:t xml:space="preserve"> </w:t>
      </w:r>
      <w:r>
        <w:t xml:space="preserve">&gt; This is a</w:t>
      </w:r>
      <w:r>
        <w:t xml:space="preserve"> </w:t>
      </w:r>
      <w:r>
        <w:rPr>
          <w:iCs/>
          <w:i/>
        </w:rPr>
        <w:t xml:space="preserve">Tier-1-only</w:t>
      </w:r>
      <w:r>
        <w:t xml:space="preserve"> </w:t>
      </w:r>
      <w:r>
        <w:t xml:space="preserve">indicator. It is the strictest cross-wave-comparable digital-adoption variable available in WBES Vietnam 2009/2015/2023.</w:t>
      </w:r>
    </w:p>
    <w:p>
      <w:pPr>
        <w:pStyle w:val="BodyText"/>
      </w:pPr>
      <w:r>
        <w:rPr>
          <w:bCs/>
          <w:b/>
        </w:rPr>
        <w:t xml:space="preserve">Decision rule for DAI_rich (used in P4 Singapore, single-wave 2023 only):</w:t>
      </w:r>
      <w:r>
        <w:t xml:space="preserve"> </w:t>
      </w:r>
      <w:r>
        <w:t xml:space="preserve">&gt; DAI_rich = within-wave z-standardize of mean(c22b_01, k33 ÷ 100, k38 ÷ 100).</w:t>
      </w:r>
      <w:r>
        <w:t xml:space="preserve"> </w:t>
      </w:r>
      <w:r>
        <w:t xml:space="preserve">&gt;</w:t>
      </w:r>
      <w:r>
        <w:t xml:space="preserve"> </w:t>
      </w:r>
      <w:r>
        <w:t xml:space="preserve">&gt; This is a</w:t>
      </w:r>
      <w:r>
        <w:t xml:space="preserve"> </w:t>
      </w:r>
      <w:r>
        <w:rPr>
          <w:iCs/>
          <w:i/>
        </w:rPr>
        <w:t xml:space="preserve">Tier 1+2</w:t>
      </w:r>
      <w:r>
        <w:t xml:space="preserve"> </w:t>
      </w:r>
      <w:r>
        <w:t xml:space="preserve">indicator that combines website presence with two-way transaction-enabling electronic payment intensity.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cross-wave-comparable because k33 and k38 do not exist in PICS3 (2009/2015 waves) for any economy. P4 Singapore can use it because P4 is a single-wave analysis.</w:t>
      </w:r>
    </w:p>
    <w:p>
      <w:pPr>
        <w:pStyle w:val="BodyText"/>
      </w:pPr>
      <w:r>
        <w:rPr>
          <w:bCs/>
          <w:b/>
        </w:rPr>
        <w:t xml:space="preserve">Decision rule for cross-construct comparison.</w:t>
      </w:r>
      <w:r>
        <w:t xml:space="preserve"> </w:t>
      </w:r>
      <w:r>
        <w:t xml:space="preserve">The DAI_z vs DAI_rich contrast carries the principal theoretical implication of the dissertation: in transitional economies where Tier-2 transaction-enabling infrastructure was not measured (Vietnam 2009/2015) or where Tier-1 has diffused to near-universal saturation (P4 Singapore 2023), a Tier-1-only DAI proxy may obsolesce or fail to detect the conditional-scaling mechanism. The Tier-1 vs Tier-1+2 measurement boundary is therefore a</w:t>
      </w:r>
      <w:r>
        <w:t xml:space="preserve"> </w:t>
      </w:r>
      <w:r>
        <w:rPr>
          <w:iCs/>
          <w:i/>
        </w:rPr>
        <w:t xml:space="preserve">substantive theoretical claim</w:t>
      </w:r>
      <w:r>
        <w:t xml:space="preserve">, not a residual data limitation. This is documented in P4 Singapore §3.2.3 R1 sensitivity diagnostic (Tier-1-only causes the FSTS² × DAI quadratic interaction to drop from β = +3.119 to ~+1.55; joint F drops from 4.56 to 4.01).</w:t>
      </w:r>
    </w:p>
    <w:bookmarkEnd w:id="24"/>
    <w:bookmarkStart w:id="25" w:name="control-items-firm-characteristics"/>
    <w:p>
      <w:pPr>
        <w:pStyle w:val="Heading3"/>
      </w:pPr>
      <w:r>
        <w:t xml:space="preserve">2.5 Control items (firm characteristics)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(PICS3)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(Standardized)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 (year established)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survey_year − b5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b2b &gt; 0 (any foreign equity); alternative threshold 10% in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top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b6a (renumbered in BREADY)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column name across waves; recode 1 = female, 0 =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a4b (ISIC 1-digit, 2009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a4a (a4b not in BREADY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a4b if present; fall back to a4a in BREADY; map to broad sector categories (manufacturing, retail, other services)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Cross-wave validation.</w:t>
      </w:r>
      <w:r>
        <w:t xml:space="preserve"> </w:t>
      </w:r>
      <w:r>
        <w:t xml:space="preserve">The sector-code field underwent a release-only renaming between Standardized 2018 and BREADY 2019 (a4b → a4a). This is a</w:t>
      </w:r>
      <w:r>
        <w:t xml:space="preserve"> </w:t>
      </w:r>
      <w:r>
        <w:rPr>
          <w:iCs/>
          <w:i/>
        </w:rPr>
        <w:t xml:space="preserve">release-format</w:t>
      </w:r>
      <w:r>
        <w:t xml:space="preserve"> </w:t>
      </w:r>
      <w:r>
        <w:t xml:space="preserve">difference, not a</w:t>
      </w:r>
      <w:r>
        <w:t xml:space="preserve"> </w:t>
      </w:r>
      <w:r>
        <w:rPr>
          <w:iCs/>
          <w:i/>
        </w:rPr>
        <w:t xml:space="preserve">semantic</w:t>
      </w:r>
      <w:r>
        <w:t xml:space="preserve"> </w:t>
      </w:r>
      <w:r>
        <w:t xml:space="preserve">difference; the underlying ISIC 1-digit classification is preserved. Replication scripts include both column names with explicit fallback logic.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validation-diagnostics"/>
    <w:p>
      <w:pPr>
        <w:pStyle w:val="Heading2"/>
      </w:pPr>
      <w:r>
        <w:t xml:space="preserve">3. Validation diagnostics</w:t>
      </w:r>
    </w:p>
    <w:p>
      <w:pPr>
        <w:pStyle w:val="FirstParagraph"/>
      </w:pPr>
      <w:r>
        <w:t xml:space="preserve">The harmonization protocol has been validated via three diagnostic checks:</w:t>
      </w:r>
    </w:p>
    <w:bookmarkStart w:id="27" w:name="within-economy-temporal-stability"/>
    <w:p>
      <w:pPr>
        <w:pStyle w:val="Heading3"/>
      </w:pPr>
      <w:r>
        <w:t xml:space="preserve">3.1 Within-economy temporal stability</w:t>
      </w:r>
    </w:p>
    <w:p>
      <w:pPr>
        <w:pStyle w:val="FirstParagraph"/>
      </w:pPr>
      <w:r>
        <w:t xml:space="preserve">For Vietnam (three waves) and China (two waves), the harmonized variables produce qualitatively consistent inverted-U findings across waves (Vietnam P3 Table 5: TP = 46.2% / 39.3% / 41.6% / 39.7% pooled; China P5 / Ch4 §4.4.3: TP = 49.4% / 47.2% / 48.8% pooled). Consistency across waves under the same harmonized definitions is supportive evidence that the harmonization does not artifactually inject curvature.</w:t>
      </w:r>
    </w:p>
    <w:bookmarkEnd w:id="27"/>
    <w:bookmarkStart w:id="28" w:name="X05a157fb0935efc80c5acc1fe14c4f309626ccf"/>
    <w:p>
      <w:pPr>
        <w:pStyle w:val="Heading3"/>
      </w:pPr>
      <w:r>
        <w:t xml:space="preserve">3.2 Within-wave cross-economy variance preservation</w:t>
      </w:r>
    </w:p>
    <w:p>
      <w:pPr>
        <w:pStyle w:val="FirstParagraph"/>
      </w:pPr>
      <w:r>
        <w:t xml:space="preserve">For the 45-economy pooled sample (P7 / Ch4 §4.3), within-wave variance in FSTS, TCI_z, and DAI_z is preserved across economies — the z-standardization is</w:t>
      </w:r>
      <w:r>
        <w:t xml:space="preserve"> </w:t>
      </w:r>
      <w:r>
        <w:rPr>
          <w:iCs/>
          <w:i/>
        </w:rPr>
        <w:t xml:space="preserve">within-wave</w:t>
      </w:r>
      <w:r>
        <w:t xml:space="preserve"> </w:t>
      </w:r>
      <w:r>
        <w:t xml:space="preserve">but pooled across economies, so cross-economy variance remains identifiable. This is verified by inspecting raw vs harmonized SD of each variable per wave.</w:t>
      </w:r>
    </w:p>
    <w:bookmarkEnd w:id="28"/>
    <w:bookmarkStart w:id="29" w:name="construct-validity-tier-1-vs-tier-12"/>
    <w:p>
      <w:pPr>
        <w:pStyle w:val="Heading3"/>
      </w:pPr>
      <w:r>
        <w:t xml:space="preserve">3.3 Construct-validity Tier-1 vs Tier-1+2</w:t>
      </w:r>
    </w:p>
    <w:p>
      <w:pPr>
        <w:pStyle w:val="FirstParagraph"/>
      </w:pPr>
      <w:r>
        <w:t xml:space="preserve">The Tier-1-only DAI_z in P3 Vietnam 2023 produces a negative FSTS × DAI quadratic interaction (β = −0.912, p = .043), which is consistent with proxy obsolescence as website ownership approaches the population-saturation ceiling. The Tier-1+2 DAI_rich in P4 Singapore 2023 produces a positive FSTS² × DAI quadratic interaction (β = +3.119, p = .005), consistent with the conditional-scaling amplification mechanism. The contrast across these two single-wave analyses provides a substantive validation of the Tier-1 vs Tier-1+2 distinction</w:t>
      </w:r>
      <w:r>
        <w:t xml:space="preserve"> </w:t>
      </w:r>
      <w:r>
        <w:rPr>
          <w:iCs/>
          <w:i/>
        </w:rPr>
        <w:t xml:space="preserve">as a theoretical proposition</w:t>
      </w:r>
      <w:r>
        <w:t xml:space="preserve">, not merely as a measurement limitation.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tems-deliberately-not-harmonized"/>
    <w:p>
      <w:pPr>
        <w:pStyle w:val="Heading2"/>
      </w:pPr>
      <w:r>
        <w:t xml:space="preserve">4. Items deliberately NOT harmonized</w:t>
      </w:r>
    </w:p>
    <w:p>
      <w:pPr>
        <w:pStyle w:val="FirstParagraph"/>
      </w:pPr>
      <w:r>
        <w:t xml:space="preserve">To keep the protocol auditable, we explicitly enumerate items that were considered for harmonization but excluded: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outputs (h1 product innovation, h8 R&amp;D expenditure)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only from 2015 onward (Standardized + BREADY); cannot be included in cross-wave-comparable composites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education (b7c, b7d)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wording changed substantially across generations; not used in any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training (l4, l10)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present but wording inconsistent across generations;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practices (m1–m4)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in BREADY only; not relevant to I-P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Customer-side electronic payment (k33) for cross-wave DAI_z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only in BREADY 2023; using it as DAI proxy would introduce wave-specific construct shift mistakable for substantive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plication-and-audit"/>
    <w:p>
      <w:pPr>
        <w:pStyle w:val="Heading2"/>
      </w:pPr>
      <w:r>
        <w:t xml:space="preserve">5. Replication and audit</w:t>
      </w:r>
    </w:p>
    <w:p>
      <w:pPr>
        <w:pStyle w:val="FirstParagraph"/>
      </w:pPr>
      <w:r>
        <w:t xml:space="preserve">The harmonization protocol is implemented 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Stata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p3/replication/01_harmonize_waves.do</w:t>
      </w:r>
      <w:r>
        <w:t xml:space="preserve">, P3 Vietnam-specific)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p6/scripts/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p7/scripts/</w:t>
      </w:r>
      <w:r>
        <w:t xml:space="preserve">, multi-economy pool)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p6/tools/verify_moderator_qm.py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p7/tools/</w:t>
      </w:r>
      <w:r>
        <w:t xml:space="preserve"> </w:t>
      </w:r>
      <w:r>
        <w:t xml:space="preserve">country-classification)</w:t>
      </w:r>
    </w:p>
    <w:p>
      <w:pPr>
        <w:pStyle w:val="BodyText"/>
      </w:pPr>
      <w:r>
        <w:t xml:space="preserve">Anyone with access to the WBES microdata can reproduce the harmonized analytic samples by running the harmonization scripts. The OSF z37kn repository (https://osf.io/z37kn) contains the harmonization codebook, the variable-construction scripts, and a validation table comparing raw vs harmonized variable distributions by wave.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s-of-the-harmonization"/>
    <w:p>
      <w:pPr>
        <w:pStyle w:val="Heading2"/>
      </w:pPr>
      <w:r>
        <w:t xml:space="preserve">6. Limitations of the harmonization</w:t>
      </w:r>
    </w:p>
    <w:p>
      <w:pPr>
        <w:pStyle w:val="FirstParagraph"/>
      </w:pPr>
      <w:r>
        <w:t xml:space="preserve">Three substantive limitations: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Single-coder design.</w:t>
      </w:r>
      <w:r>
        <w:t xml:space="preserve"> </w:t>
      </w:r>
      <w:r>
        <w:t xml:space="preserve">All harmonization decisions were made by the dissertation author group. There is no independent inter-coder reliability check on the harmonization choices themselves. The decisions are mechanically reproducible from this protocol document, so independent verification is possible; but it has not been formally performed.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Tier-2 DAI is single-wave only.</w:t>
      </w:r>
      <w:r>
        <w:t xml:space="preserve"> </w:t>
      </w:r>
      <w:r>
        <w:t xml:space="preserve">The most theoretically interesting DAI distinction (Tier-1 vs Tier-1+2) is only available in BREADY 2023. The temporal-stability question — does the conditional-scaling mechanism strengthen or weaken across waves? — cannot be answered with current WBES data and is acknowledged as a future-research direction in all relevant papers.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Sample frame shifts.</w:t>
      </w:r>
      <w:r>
        <w:t xml:space="preserve"> </w:t>
      </w:r>
      <w:r>
        <w:t xml:space="preserve">The 2019 BREADY transition expanded the sample frame to include 5–19 employee firms (PICS3 was 5+ employees with sampling weighted toward larger firms). This may introduce sample composition shifts that are not absorbed by wave fixed effects. Robustness checks restricting to comparable firm-size bands (e.g., 10+ employees) are reported in each paper’s robustness section.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 (drafted 30 May 2026 as the methodological reference for the dissertation’s cross-wave WBES harmonization decisions. To be deposited on OSF z37kn alongside the replication scripts and validated against raw WBES microdata before final submission.)</w:t>
      </w:r>
    </w:p>
    <w:bookmarkEnd w:id="33"/>
    <w:bookmarkEnd w:id="34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2026-05-30T18:28:08Z</dcterms:created>
  <dcterms:modified xsi:type="dcterms:W3CDTF">2026-05-30T18:28:08Z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