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4f358595ccd0280e098b9e1e03e9274f018fdfe"/>
    <w:p>
      <w:pPr>
        <w:pStyle w:val="Heading1"/>
      </w:pPr>
      <w:r>
        <w:t xml:space="preserve">P6 — Quốc tế hóa và hiệu quả hoạt động kinh doanh: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v2.4 (24/05/2026)</w:t>
      </w:r>
      <w:r>
        <w:t xml:space="preserve"> </w:t>
      </w:r>
      <w:r>
        <w:t xml:space="preserve">— MARA trên coded baseline đã xác minh k=238, K=288. r̄=0.074 [0.060, 0.088]; I²=62.4% (L2 within=54.1%, L3 between=8.4%). ICRV Q_M(4)=17.35 (p=.002) omnibus có ý nghĩa nhưng KHÔNG bền vững — bỏ ô Frontier (k=3) → Q_M(3)=1.49 (p=.68) NS; cDAI Q_M(2)=1.23 (p=.541) NS; DPL Q_M(2)=0.56 (p=.755) NS. Egger b=0.475 (SE=0.250, p=.057); Begg τ=−0.134 (p=.0007); trim-and-fill k_imputed=58, adj r=0.035 [0.023, 0.048]. Fail-safe N=45,848 (criterion 5k+10=1,200).</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Management Review Quarterly</w:t>
      </w:r>
      <w:r>
        <w:t xml:space="preserve"> </w:t>
      </w:r>
      <w:r>
        <w:t xml:space="preserve">(Springer, Scopus Q1; đổi từ IBR 2026-05-27) — chấp nhận baseline k=238, độ dài linh hoạt.</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kinh doanh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trên phạm vi toàn cầu;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từ 49 nền kinh tế. Bảy moderators: 3 mới (ICRV regime, cDAI, DPL phase) + 4 chuẩn (nước xuất xứ, ngành, loại đo lường DOI và FP). Tiền đăng ký OSF (https://osf.io/z37kn)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Dị biệt (</w:t>
      </w:r>
      <m:oMath>
        <m:sSup>
          <m:e>
            <m:r>
              <m:t>I</m:t>
            </m:r>
          </m:e>
          <m:sup>
            <m:r>
              <m:t>2</m:t>
            </m:r>
          </m:sup>
        </m:sSup>
        <m:r>
          <m:rPr>
            <m:sty m:val="p"/>
          </m:rPr>
          <m:t>=</m:t>
        </m:r>
        <m:r>
          <m:t>62.4</m:t>
        </m:r>
        <m:r>
          <m:rPr>
            <m:sty m:val="p"/>
          </m:rPr>
          <m:t>%</m:t>
        </m:r>
      </m:oMath>
      <w:r>
        <w:t xml:space="preserve">) chủ yếu nằm ở trong-nghiên-cứu L2 (54.1%) hơn là giữa-nghiên-cứu L3 (8.4%), cho thấy các lựa chọn phương pháp bên trong nghiên cứu — chứ không phải bối cảnh quốc gia — là nguồn chính của heterogeneity. Moderator ICRV:</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trên toàn mẫu nhưng KHÔNG bền vững: toàn bộ ý nghĩa do ô Frontier nhỏ (k=3) tạo ra, và kiểm định nhạy cảm bỏ ô này trên 4 regime đông dữ liệu (I/II/III/MX) đưa omnibus về không có ý nghĩa (</w:t>
      </w:r>
      <m:oMath>
        <m:sSub>
          <m:e>
            <m:r>
              <m:t>Q</m:t>
            </m:r>
          </m:e>
          <m:sub>
            <m:r>
              <m:t>M</m:t>
            </m:r>
          </m:sub>
        </m:sSub>
        <m:r>
          <m:rPr>
            <m:sty m:val="p"/>
          </m:rPr>
          <m:t>=</m:t>
        </m:r>
        <m:r>
          <m:t>1.49</m:t>
        </m:r>
      </m:oMath>
      <w:r>
        <w:t xml:space="preserve">,</w:t>
      </w:r>
      <w:r>
        <w:t xml:space="preserve"> </w:t>
      </w:r>
      <m:oMath>
        <m:r>
          <m:t>d</m:t>
        </m:r>
        <m:r>
          <m:t>f</m:t>
        </m:r>
        <m:r>
          <m:rPr>
            <m:sty m:val="p"/>
          </m:rPr>
          <m:t>=</m:t>
        </m:r>
        <m:r>
          <m:t>3</m:t>
        </m:r>
      </m:oMath>
      <w:r>
        <w:t xml:space="preserve">,</w:t>
      </w:r>
      <w:r>
        <w:t xml:space="preserve"> </w:t>
      </w:r>
      <m:oMath>
        <m:r>
          <m:t>p</m:t>
        </m:r>
        <m:r>
          <m:rPr>
            <m:sty m:val="p"/>
          </m:rPr>
          <m:t>=</m:t>
        </m:r>
        <m:r>
          <m:t>.68</m:t>
        </m:r>
      </m:oMath>
      <w:r>
        <w:t xml:space="preserve">) — ngang với cDAI/DPL; không có gradient đơn điệu E1a/E1b.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Thiên lệch công bố: Egger</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Begg</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w:t>
      </w:r>
      <w:r>
        <w:t xml:space="preserve"> </w:t>
      </w:r>
      <w:r>
        <w:rPr>
          <w:bCs/>
          <w:b/>
        </w:rPr>
        <w:t xml:space="preserve">phát hiện chính</w:t>
      </w:r>
      <w:r>
        <w:t xml:space="preserve">. Fail-safe N = 45,848 (tiêu chuẩn 5k+10=1,200: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6-regime đầu tiên cho một corpus I→P đại diện toàn cầu, DPL phase testing đầu tiên systematic. Các moderator số và thời gian cấp quốc gia không có ý nghĩa (cDAI, DPL) được diễn giải qua</w:t>
      </w:r>
      <w:r>
        <w:t xml:space="preserve"> </w:t>
      </w:r>
      <w:r>
        <w:rPr>
          <w:bCs/>
          <w:b/>
        </w:rPr>
        <w:t xml:space="preserve">Thuyết Bất tương thích Khung năng lực (Capability–Context Mismatch)</w:t>
      </w:r>
      <w:r>
        <w:t xml:space="preserve">: bối cảnh số vĩ mô là vô hiệu đối với quan hệ I→P nếu không đi kèm năng lực số ở cấp doanh nghiệp (vi mô) — môi trường vĩ mô không thể thay thế cho năng lực vi mô vốn là thứ thực sự chuyển hóa nó.</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kinh doanh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 Quan trọng hơn, P6 nâng một phát hiện vượt ra ngoài ba khoảng trống đó lên hàng tuyên bố trung tâm: hiệu chỉnh trim-and-fill kéo hiệu ứng tổng hợp từ</w:t>
      </w:r>
      <w:r>
        <w:t xml:space="preserve"> </w:t>
      </w:r>
      <m:oMath>
        <m:r>
          <m:t>r</m:t>
        </m:r>
        <m:r>
          <m:rPr>
            <m:sty m:val="p"/>
          </m:rPr>
          <m:t>=</m:t>
        </m:r>
        <m:r>
          <m:t>0.074</m:t>
        </m:r>
      </m:oMath>
      <w:r>
        <w:t xml:space="preserve"> </w:t>
      </w:r>
      <w:r>
        <w:t xml:space="preserve">xuống</w:t>
      </w:r>
      <w:r>
        <w:t xml:space="preserve"> </w:t>
      </w:r>
      <m:oMath>
        <m:r>
          <m:t>r</m:t>
        </m:r>
        <m:r>
          <m:rPr>
            <m:sty m:val="p"/>
          </m:rPr>
          <m:t>=</m:t>
        </m:r>
        <m:r>
          <m:t>0.035</m:t>
        </m:r>
      </m:oMath>
      <w:r>
        <w:t xml:space="preserve"> </w:t>
      </w:r>
      <w:r>
        <w:t xml:space="preserve">— mức suy giảm khoảng</w:t>
      </w:r>
      <w:r>
        <w:t xml:space="preserve"> </w:t>
      </w:r>
      <w:r>
        <w:rPr>
          <w:bCs/>
          <w:b/>
        </w:rPr>
        <w:t xml:space="preserve">53%</w:t>
      </w:r>
      <w:r>
        <w:t xml:space="preserve"> </w:t>
      </w:r>
      <w:r>
        <w:t xml:space="preserve">— hàm ý rằng bốn thập kỷ bằng chứng I→P có thể đã bị thổi phồng đáng kể bởi thiên lệch công bố. Đây là một ước lượng hiệu chỉnh, được củng cố bởi kiểm định Begg có ý nghĩa (</w:t>
      </w:r>
      <m:oMath>
        <m:r>
          <m:t>τ</m:t>
        </m:r>
        <m:r>
          <m:rPr>
            <m:sty m:val="p"/>
          </m:rPr>
          <m:t>=</m:t>
        </m:r>
        <m:r>
          <m:rPr>
            <m:sty m:val="p"/>
          </m:rPr>
          <m:t>−</m:t>
        </m:r>
        <m:r>
          <m:t>0.134</m:t>
        </m:r>
      </m:oMath>
      <w:r>
        <w:t xml:space="preserve">,</w:t>
      </w:r>
      <w:r>
        <w:t xml:space="preserve"> </w:t>
      </w:r>
      <m:oMath>
        <m:r>
          <m:t>p</m:t>
        </m:r>
        <m:r>
          <m:rPr>
            <m:sty m:val="p"/>
          </m:rPr>
          <m:t>&lt;</m:t>
        </m:r>
        <m:r>
          <m:t>.001</m:t>
        </m:r>
      </m:oMath>
      <w:r>
        <w:t xml:space="preserve">); do kiểm định Egger chỉ ở mức biên (</w:t>
      </w:r>
      <m:oMath>
        <m:r>
          <m:t>p</m:t>
        </m:r>
        <m:r>
          <m:rPr>
            <m:sty m:val="p"/>
          </m:rPr>
          <m:t>=</m:t>
        </m:r>
        <m:r>
          <m:t>.057</m:t>
        </m:r>
      </m:oMath>
      <w:r>
        <w:t xml:space="preserve">), luận án trình bày con số ~53% như một tín hiệu định hướng mạnh chứ không phải một độ lớn đã chốt.</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w:t>
      </w:r>
      <w:r>
        <w:t xml:space="preserve"> </w:t>
      </w:r>
      <w:r>
        <w:t xml:space="preserve">chưa được mã hóa một cách hệ thống ở độ phân giải đủ tinh. Marano et al. (2016) phân tách home country institutions thành sáu nhóm tổng quát toàn cầu, nhưng chưa có meta nào áp dụng phân loại ICRV 6-regime (Institutional Context Regime Variation) cho một corpus I→P đại diện toàn cầu — corpus trải phổ thể chế rộng nhất,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a5f22aac61b7cb94e0330389c3a3ff0185a3aa2"/>
    <w:p>
      <w:pPr>
        <w:pStyle w:val="Heading3"/>
      </w:pPr>
      <w:r>
        <w:t xml:space="preserve">1.4 Gap 2: ICRV 6-regime chưa kiểm định trên corpus I→P toàn cầu</w:t>
      </w:r>
    </w:p>
    <w:p>
      <w:pPr>
        <w:pStyle w:val="FirstParagraph"/>
      </w:pPr>
      <w:r>
        <w:rPr>
          <w:bCs/>
          <w:b/>
        </w:rPr>
        <w:t xml:space="preserve">Định nghĩa</w:t>
      </w:r>
      <w:r>
        <w:t xml:space="preserve">: ICRV 6-regime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sáu mã: Regime I (Advanced-Innovation,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Frontier (FR, WGI</w:t>
      </w:r>
      <w:r>
        <w:t xml:space="preserve"> </w:t>
      </w:r>
      <m:oMath>
        <m:r>
          <m:rPr>
            <m:sty m:val="p"/>
          </m:rPr>
          <m:t>&lt;</m:t>
        </m:r>
        <m:r>
          <m:rPr>
            <m:sty m:val="p"/>
          </m:rPr>
          <m:t>−</m:t>
        </m:r>
        <m:r>
          <m:t>0.50</m:t>
        </m:r>
      </m:oMath>
      <w:r>
        <w:t xml:space="preserve">), SIDS (Quốc đảo Thái Bình Dương — tương ứng Nhóm VI trong khung ICRV của luận án, boundary case), và Mixed/đa quốc gia (MX, nghiên cứu trải</w:t>
      </w:r>
      <w:r>
        <w:t xml:space="preserve"> </w:t>
      </w:r>
      <m:oMath>
        <m:r>
          <m:rPr>
            <m:sty m:val="p"/>
          </m:rPr>
          <m:t>≥</m:t>
        </m:r>
        <m:r>
          <m:t>2</m:t>
        </m:r>
      </m:oMath>
      <w:r>
        <w:t xml:space="preserve"> </w:t>
      </w:r>
      <w:r>
        <w:t xml:space="preserve">regime). Trong corpus hiện tại, ô SIDS không có nghiên cứu đạt chuẩn (</w:t>
      </w:r>
      <m:oMath>
        <m:r>
          <m:t>k</m:t>
        </m:r>
        <m:r>
          <m:rPr>
            <m:sty m:val="p"/>
          </m:rPr>
          <m:t>=</m:t>
        </m:r>
        <m:r>
          <m:t>0</m:t>
        </m:r>
      </m:oMath>
      <w:r>
        <w:t xml:space="preserve">), nên kiểm định thực nghiệm chạy trên 5 ô có dữ liệu (xem Mục 4.3).</w:t>
      </w:r>
    </w:p>
    <w:p>
      <w:pPr>
        <w:pStyle w:val="BodyText"/>
      </w:pPr>
      <w:r>
        <w:rPr>
          <w:bCs/>
          <w:b/>
        </w:rPr>
        <w:t xml:space="preserve">Đối chiếu đánh số với hệ chuẩn ICRV 6-regime của luận án</w:t>
      </w:r>
      <w:r>
        <w:t xml:space="preserve">: do corpus meta toàn cầu gộp một số chế độ, P6 dùng đánh số gọn. Bảng đối chiếu: P6 Nhóm I ≡ Nhóm I luận án (Advanced-Innovation); P6 Nhóm II (Upper-middle) ≡ Nhóm III luận án; P6 Nhóm III (Emerging) ≡ Nhóm IV luận án; FR (Frontier) ≡ Nhóm V; SIDS ≡ Nhóm VI. Nhóm II luận án (Advanced Resource-Driven/GCC) không tách riêng trong corpus P6 (các nghiên cứu GCC gộp vào MX hoặc không đủ chuẩn PICO); MX là mã đa quốc gia mang tính phương pháp, không có tương ứng trong hệ I–VI.</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6-regime cho một corpus I→P đại diện toàn cầu — corpus trải phổ thể chế rộng nhất. Doanh nghiệp từ Singapore (Regime I) vận hành theo logic hoàn toàn khác doanh nghiệp từ Afghanistan (Frontier).</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6-regime đầu tiên áp dụng cho một corpus I→P đại diện toàn cầu (k=238, 49 nền kinh tế; 5/6 nhóm có dữ liệu)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I→P đại diện toàn cầu lớn nhất từ trước đến nay (49 nền kinh tế); (8) Subgroup analysis theo khung ICRV 6-regime — với 5 ô có dữ liệu (ô SIDS/Nhóm VI không có nghiên cứu đạt chuẩn) — phổ thể chế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6-regime áp dụng cho corpus I→P toàn cầu.</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áp dụng cho corpus I→P toàn cầu,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mã)</w:t>
            </w:r>
          </w:p>
        </w:tc>
        <w:tc>
          <w:tcPr/>
          <w:p>
            <w:pPr>
              <w:pStyle w:val="Compact"/>
              <w:jc w:val="left"/>
            </w:pPr>
            <w:r>
              <w:t xml:space="preserve">I/II/III/FR/SIDS/MX theo WGI RoL với thresholds</w:t>
            </w:r>
            <w:r>
              <w:t xml:space="preserve"> </w:t>
            </w:r>
            <m:oMath>
              <m:r>
                <m:rPr>
                  <m:sty m:val="p"/>
                </m:rPr>
                <m:t>+</m:t>
              </m:r>
              <m:r>
                <m:t>0.80</m:t>
              </m:r>
              <m:r>
                <m:rPr>
                  <m:sty m:val="p"/>
                </m:rPr>
                <m:t>/</m:t>
              </m:r>
              <m:r>
                <m:rPr>
                  <m:sty m:val="p"/>
                </m:rPr>
                <m:t>−</m:t>
              </m:r>
              <m:r>
                <m:t>0.50</m:t>
              </m:r>
            </m:oMath>
            <w:r>
              <w:t xml:space="preserve"> </w:t>
            </w:r>
            <w:r>
              <w:t xml:space="preserve">(I=Advanced-Innovation, II=Upper-middle, III=Emerging, FR=Frontier, SIDS=Quốc đảo TBD ≡ Nhóm VI luận án, MX=đa quốc gia ≥2 regime); ô SIDS có</w:t>
            </w:r>
            <w:r>
              <w:t xml:space="preserve"> </w:t>
            </w:r>
            <m:oMath>
              <m:r>
                <m:t>k</m:t>
              </m:r>
              <m:r>
                <m:rPr>
                  <m:sty m:val="p"/>
                </m:rPr>
                <m:t>=</m:t>
              </m:r>
              <m:r>
                <m:t>0</m:t>
              </m:r>
            </m:oMath>
            <w:r>
              <w:t xml:space="preserve"> </w:t>
            </w:r>
            <w:r>
              <w:t xml:space="preserve">trong corpus nên 5 ô được kiểm định (</w:t>
            </w:r>
            <m:oMath>
              <m:r>
                <m:t>d</m:t>
              </m:r>
              <m:r>
                <m:t>f</m:t>
              </m:r>
              <m:r>
                <m:rPr>
                  <m:sty m:val="p"/>
                </m:rPr>
                <m:t>=</m:t>
              </m:r>
              <m:r>
                <m:t>4</m:t>
              </m:r>
            </m:oMath>
            <w:r>
              <w:t xml:space="preserve">)</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X632aac8ae1c7b0d2996d59f418a032b9d86528b"/>
    <w:p>
      <w:pPr>
        <w:pStyle w:val="Heading3"/>
      </w:pPr>
      <w:r>
        <w:t xml:space="preserve">4.3 Phân tích moderator: ICRV regime (5 ô có dữ liệu)</w:t>
      </w:r>
    </w:p>
    <w:p>
      <w:pPr>
        <w:pStyle w:val="FirstParagraph"/>
      </w:pPr>
      <w:r>
        <w:rPr>
          <w:bCs/>
          <w:b/>
        </w:rPr>
        <w:t xml:space="preserve">Phương pháp</w:t>
      </w:r>
      <w:r>
        <w:t xml:space="preserve">: Subgroup analysis cho 5 ô ICRV regime có dữ liệu (ô SIDS/Nhóm VI rỗng,</w:t>
      </w:r>
      <w:r>
        <w:t xml:space="preserve"> </w:t>
      </w:r>
      <m:oMath>
        <m:r>
          <m:t>k</m:t>
        </m:r>
        <m:r>
          <m:rPr>
            <m:sty m:val="p"/>
          </m:rPr>
          <m:t>=</m:t>
        </m:r>
        <m:r>
          <m:t>0</m:t>
        </m:r>
      </m:oMath>
      <w:r>
        <w:t xml:space="preserve">) trong khung 6 mã,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trên 5 ô ICRV có dữ liệu (trong khung 6 mã; ô SIDS/Nhóm VI rỗng):</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thống kê trên toàn mẫu, nhưng KHÔNG bền vững. Toàn bộ ý nghĩa do ô Frontier nhỏ, hiệu ứng cao (k=3) tạo ra: kiểm định nhạy cảm bỏ ô Frontier, ước lượng lại trên 4 regime đông dữ liệu (I/II/III/MX, K=285), đưa moderation liên nhóm về</w:t>
      </w:r>
      <w:r>
        <w:t xml:space="preserve"> </w:t>
      </w:r>
      <m:oMath>
        <m:sSub>
          <m:e>
            <m:r>
              <m:t>Q</m:t>
            </m:r>
          </m:e>
          <m:sub>
            <m:r>
              <m:t>M</m:t>
            </m:r>
          </m:sub>
        </m:sSub>
        <m:r>
          <m:rPr>
            <m:sty m:val="p"/>
          </m:rPr>
          <m:t>=</m:t>
        </m:r>
        <m:r>
          <m:t>1.49</m:t>
        </m:r>
      </m:oMath>
      <w:r>
        <w:t xml:space="preserve"> </w:t>
      </w:r>
      <w:r>
        <w:t xml:space="preserve">(</w:t>
      </w:r>
      <m:oMath>
        <m:r>
          <m:t>d</m:t>
        </m:r>
        <m:r>
          <m:t>f</m:t>
        </m:r>
        <m:r>
          <m:rPr>
            <m:sty m:val="p"/>
          </m:rPr>
          <m:t>=</m:t>
        </m:r>
        <m:r>
          <m:t>3</m:t>
        </m:r>
      </m:oMath>
      <w:r>
        <w:t xml:space="preserve">,</w:t>
      </w:r>
      <w:r>
        <w:t xml:space="preserve"> </w:t>
      </w:r>
      <m:oMath>
        <m:r>
          <m:t>p</m:t>
        </m:r>
        <m:r>
          <m:rPr>
            <m:sty m:val="p"/>
          </m:rPr>
          <m:t>=</m:t>
        </m:r>
        <m:r>
          <m:t>.68</m:t>
        </m:r>
      </m:oMath>
      <w:r>
        <w:t xml:space="preserve">) — không có ý nghĩa và ngang bằng với cDAI/DPL. Sự khác biệt vì vậy KHÔNG hình thành một gradient đơn điệu theo chiều kỳ vọng E1a/E1b:</w:t>
      </w:r>
    </w:p>
    <w:p>
      <w:pPr>
        <w:pStyle w:val="BodyText"/>
      </w:pPr>
      <w:r>
        <w:rPr>
          <w:bCs/>
          <w:b/>
        </w:rPr>
        <w:t xml:space="preserve">Bảng 4.2 — Kết quả ICRV regime subgroup, 5 ô có dữ liệu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moderation ICRV KHÔNG bền vững (bỏ ô FR → Q_M=1.49, p=.68, NS). SIDS không có đủ effect sizes trong pool hiện tại để phân tích subgroup riêng. Đối chiếu hệ chuẩn luận án: P6 II ≡ luận án III, P6 III ≡ luận án IV, FR ≡ V, SIDS ≡ VI (xem Mục 1.4).</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Kiểm định omnibus liên nhóm cDAI KHÔNG có ý nghĩa thống kê;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0.075]</w:t>
            </w:r>
          </w:p>
        </w:tc>
        <w:tc>
          <w:tcPr/>
          <w:p>
            <w:pPr>
              <w:pStyle w:val="Compact"/>
              <w:jc w:val="left"/>
            </w:pPr>
            <w:r>
              <w:t xml:space="preserve">0/288 đảo chiều</w:t>
            </w:r>
          </w:p>
        </w:tc>
        <w:tc>
          <w:tcPr/>
          <w:p>
            <w:pPr>
              <w:pStyle w:val="Compact"/>
              <w:jc w:val="left"/>
            </w:pPr>
            <w:r>
              <w:t xml:space="preserve">Không có outlier chi phối</w:t>
            </w:r>
          </w:p>
        </w:tc>
      </w:tr>
    </w:tbl>
    <w:p>
      <w:pPr>
        <w:pStyle w:val="BodyText"/>
      </w:pPr>
      <w:r>
        <w:t xml:space="preserve">Kết quả pooled estimate rất stable (range 0.061–0.077). Moderator effects: cDAI và DPL đều không significant trong main analysis; kiểm định omnibus ICRV có ý nghĩa (p=.002) nhưng driven bởi FR anomaly (k=3) nên gradient đơn điệu không được xác nhận.</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Kiểm định omnibus ICRV liên nhóm CÓ ý nghĩa trên toàn mẫu (</w:t>
      </w:r>
      <m:oMath>
        <m:sSub>
          <m:e>
            <m:r>
              <m:t>Q</m:t>
            </m:r>
          </m:e>
          <m:sub>
            <m:r>
              <m:t>M</m:t>
            </m:r>
          </m:sub>
        </m:sSub>
        <m:r>
          <m:rPr>
            <m:sty m:val="p"/>
          </m:rPr>
          <m:t>=</m:t>
        </m:r>
        <m:r>
          <m:t>17.35</m:t>
        </m:r>
      </m:oMath>
      <w:r>
        <w:t xml:space="preserve">,</w:t>
      </w:r>
      <w:r>
        <w:t xml:space="preserve"> </w:t>
      </w:r>
      <m:oMath>
        <m:r>
          <m:t>p</m:t>
        </m:r>
        <m:r>
          <m:rPr>
            <m:sty m:val="p"/>
          </m:rPr>
          <m:t>=</m:t>
        </m:r>
        <m:r>
          <m:t>.002</m:t>
        </m:r>
      </m:oMath>
      <w:r>
        <w:t xml:space="preserve">) nhưng KHÔNG bền vững: FR anomaly (k=3) là nguồn chính của</w:t>
      </w:r>
      <w:r>
        <w:t xml:space="preserve"> </w:t>
      </w:r>
      <m:oMath>
        <m:sSub>
          <m:e>
            <m:r>
              <m:t>Q</m:t>
            </m:r>
          </m:e>
          <m:sub>
            <m:r>
              <m:t>M</m:t>
            </m:r>
          </m:sub>
        </m:sSub>
      </m:oMath>
      <w:r>
        <w:t xml:space="preserve">, bỏ ô này thì omnibus về không có ý nghĩa (</w:t>
      </w:r>
      <m:oMath>
        <m:sSub>
          <m:e>
            <m:r>
              <m:t>Q</m:t>
            </m:r>
          </m:e>
          <m:sub>
            <m:r>
              <m:t>M</m:t>
            </m:r>
          </m:sub>
        </m:sSub>
        <m:r>
          <m:rPr>
            <m:sty m:val="p"/>
          </m:rPr>
          <m:t>=</m:t>
        </m:r>
        <m:r>
          <m:t>1.49</m:t>
        </m:r>
      </m:oMath>
      <w:r>
        <w:t xml:space="preserve">,</w:t>
      </w:r>
      <w:r>
        <w:t xml:space="preserve"> </w:t>
      </w:r>
      <m:oMath>
        <m:r>
          <m:t>p</m:t>
        </m:r>
        <m:r>
          <m:rPr>
            <m:sty m:val="p"/>
          </m:rPr>
          <m:t>=</m:t>
        </m:r>
        <m:r>
          <m:t>.68</m:t>
        </m:r>
      </m:oMath>
      <w:r>
        <w:t xml:space="preserve">). Vì vậy moderation thể chế trực tiếp ở cấp literature là yếu/không robust, và propositions khám phá E1a/E1b không được xác nhận.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hai cấp tiết lộ rằng phần lớn variance trong I→P literature bắt nguồn từ within-study variance (</w:t>
      </w:r>
      <m:oMath>
        <m:sSubSup>
          <m:e>
            <m:r>
              <m:t>σ</m:t>
            </m:r>
          </m:e>
          <m:sub>
            <m:d>
              <m:dPr>
                <m:begChr m:val="("/>
                <m:endChr m:val=")"/>
                <m:sepChr m:val=""/>
                <m:grow/>
              </m:dPr>
              <m:e>
                <m:r>
                  <m:t>2</m:t>
                </m:r>
              </m:e>
            </m:d>
          </m:sub>
          <m:sup>
            <m:r>
              <m:t>2</m:t>
            </m:r>
          </m:sup>
        </m:sSubSup>
        <m:r>
          <m:rPr>
            <m:sty m:val="p"/>
          </m:rPr>
          <m:t>=</m:t>
        </m:r>
        <m:r>
          <m:t>0.00874</m:t>
        </m:r>
      </m:oMath>
      <w:r>
        <w:t xml:space="preserve">,</w:t>
      </w:r>
      <w:r>
        <w:t xml:space="preserve"> </w:t>
      </w:r>
      <m:oMath>
        <m:sSubSup>
          <m:e>
            <m:r>
              <m:t>I</m:t>
            </m:r>
          </m:e>
          <m:sub>
            <m:d>
              <m:dPr>
                <m:begChr m:val="("/>
                <m:endChr m:val=")"/>
                <m:sepChr m:val=""/>
                <m:grow/>
              </m:dPr>
              <m:e>
                <m:r>
                  <m:t>2</m:t>
                </m:r>
              </m:e>
            </m:d>
          </m:sub>
          <m:sup>
            <m:r>
              <m:t>2</m:t>
            </m:r>
          </m:sup>
        </m:sSubSup>
        <m:r>
          <m:rPr>
            <m:sty m:val="p"/>
          </m:rPr>
          <m:t>=</m:t>
        </m:r>
        <m:r>
          <m:t>54.1</m:t>
        </m:r>
        <m:r>
          <m:rPr>
            <m:sty m:val="p"/>
          </m:rPr>
          <m:t>%</m:t>
        </m:r>
      </m:oMath>
      <w:r>
        <w:t xml:space="preserve">) chứ không phải between-study (</w:t>
      </w:r>
      <m:oMath>
        <m:sSubSup>
          <m:e>
            <m:r>
              <m:t>σ</m:t>
            </m:r>
          </m:e>
          <m:sub>
            <m:d>
              <m:dPr>
                <m:begChr m:val="("/>
                <m:endChr m:val=")"/>
                <m:sepChr m:val=""/>
                <m:grow/>
              </m:dPr>
              <m:e>
                <m:r>
                  <m:t>3</m:t>
                </m:r>
              </m:e>
            </m:d>
          </m:sub>
          <m:sup>
            <m:r>
              <m:t>2</m:t>
            </m:r>
          </m:sup>
        </m:sSubSup>
        <m:r>
          <m:rPr>
            <m:sty m:val="p"/>
          </m:rPr>
          <m:t>=</m:t>
        </m:r>
        <m:r>
          <m:t>0.00135</m:t>
        </m:r>
      </m:oMath>
      <w:r>
        <w:t xml:space="preserve">,</w:t>
      </w:r>
      <w:r>
        <w:t xml:space="preserve"> </w:t>
      </w:r>
      <m:oMath>
        <m:sSubSup>
          <m:e>
            <m:r>
              <m:t>I</m:t>
            </m:r>
          </m:e>
          <m:sub>
            <m:d>
              <m:dPr>
                <m:begChr m:val="("/>
                <m:endChr m:val=")"/>
                <m:sepChr m:val=""/>
                <m:grow/>
              </m:dPr>
              <m:e>
                <m:r>
                  <m:t>3</m:t>
                </m:r>
              </m:e>
            </m:d>
          </m:sub>
          <m:sup>
            <m:r>
              <m:t>2</m:t>
            </m:r>
          </m:sup>
        </m:sSubSup>
        <m:r>
          <m:rPr>
            <m:sty m:val="p"/>
          </m:rPr>
          <m:t>=</m:t>
        </m:r>
        <m:r>
          <m:t>8.4</m:t>
        </m:r>
        <m:r>
          <m:rPr>
            <m:sty m:val="p"/>
          </m:rPr>
          <m:t>%</m:t>
        </m:r>
      </m:oMath>
      <w:r>
        <w:t xml:space="preserve">). Điều này có nghĩa là</w:t>
      </w:r>
      <w:r>
        <w:t xml:space="preserve"> </w:t>
      </w:r>
      <w:r>
        <w:rPr>
          <w:bCs/>
          <w:b/>
        </w:rPr>
        <w:t xml:space="preserve">các lựa chọn phương pháp bên trong từng nghiên cứu</w:t>
      </w:r>
      <w:r>
        <w:t xml:space="preserve"> </w:t>
      </w:r>
      <w:r>
        <w:t xml:space="preserve">— cách đo lường DOI/FP, đặc tả mô hình, sub-sample — chứ không phải khác biệt thể chế ổn định giữa các quốc gia, là nguồn chính của heterogeneity. Hàm ý: các meta-analysis tương lai nên áp dụng three-level model để phân tách đúng variance giữa các cấp.</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moderation có ý nghĩa trên toàn mẫu nhưng KHÔNG bền vững</w:t>
      </w:r>
      <w:r>
        <w:t xml:space="preserve">: Kiểm định omnibus</w:t>
      </w:r>
      <w:r>
        <w:t xml:space="preserve"> </w:t>
      </w:r>
      <m:oMath>
        <m:sSub>
          <m:e>
            <m:r>
              <m:t>Q</m:t>
            </m:r>
          </m:e>
          <m:sub>
            <m:r>
              <m:t>M</m:t>
            </m:r>
          </m:sub>
        </m:sSub>
        <m:r>
          <m:rPr>
            <m:sty m:val="p"/>
          </m:rPr>
          <m:t>=</m:t>
        </m:r>
        <m:r>
          <m:t>17.35</m:t>
        </m:r>
      </m:oMath>
      <w:r>
        <w:t xml:space="preserve"> </w:t>
      </w:r>
      <w:r>
        <w:t xml:space="preserve">(</w:t>
      </w:r>
      <m:oMath>
        <m:r>
          <m:t>p</m:t>
        </m:r>
        <m:r>
          <m:rPr>
            <m:sty m:val="p"/>
          </m:rPr>
          <m:t>=</m:t>
        </m:r>
        <m:r>
          <m:t>.002</m:t>
        </m:r>
      </m:oMath>
      <w:r>
        <w:t xml:space="preserve">) CÓ ý nghĩa trên toàn mẫu, nhưng FR anomaly (k=3) là driver duy nhất — kiểm định nhạy cảm bỏ ô này đưa</w:t>
      </w:r>
      <w:r>
        <w:t xml:space="preserve"> </w:t>
      </w:r>
      <m:oMath>
        <m:sSub>
          <m:e>
            <m:r>
              <m:t>Q</m:t>
            </m:r>
          </m:e>
          <m:sub>
            <m:r>
              <m:t>M</m:t>
            </m:r>
          </m:sub>
        </m:sSub>
        <m:r>
          <m:rPr>
            <m:sty m:val="p"/>
          </m:rPr>
          <m:t>=</m:t>
        </m:r>
        <m:r>
          <m:t>1.49</m:t>
        </m:r>
      </m:oMath>
      <w:r>
        <w:t xml:space="preserve"> </w:t>
      </w:r>
      <w:r>
        <w:t xml:space="preserve">(</w:t>
      </w:r>
      <m:oMath>
        <m:r>
          <m:t>d</m:t>
        </m:r>
        <m:r>
          <m:t>f</m:t>
        </m:r>
        <m:r>
          <m:rPr>
            <m:sty m:val="p"/>
          </m:rPr>
          <m:t>=</m:t>
        </m:r>
        <m:r>
          <m:t>3</m:t>
        </m:r>
      </m:oMath>
      <w:r>
        <w:t xml:space="preserve">,</w:t>
      </w:r>
      <w:r>
        <w:t xml:space="preserve"> </w:t>
      </w:r>
      <m:oMath>
        <m:r>
          <m:t>p</m:t>
        </m:r>
        <m:r>
          <m:rPr>
            <m:sty m:val="p"/>
          </m:rPr>
          <m:t>=</m:t>
        </m:r>
        <m:r>
          <m:t>.68</m:t>
        </m:r>
      </m:oMath>
      <w:r>
        <w:t xml:space="preserve">), không có ý nghĩa. Không có moderation thể chế trực tiếp robust ở cấp literature; tính ngữ cảnh thể chế chỉ bộc lộ ở cấp doanh nghiệp qua tương tác có điều kiện (CDCM). Cần thêm studies ở Frontier và SIDS để adjudicate propositions E1a/E1b.</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w:t>
      </w:r>
      <m:oMath>
        <m:sSub>
          <m:e>
            <m:r>
              <m:t>Q</m:t>
            </m:r>
          </m:e>
          <m:sub>
            <m:r>
              <m:t>M</m:t>
            </m:r>
          </m:sub>
        </m:sSub>
        <m:r>
          <m:rPr>
            <m:sty m:val="p"/>
          </m:rPr>
          <m:t>=</m:t>
        </m:r>
        <m:r>
          <m:t>1.23</m:t>
        </m:r>
      </m:oMath>
      <w:r>
        <w:t xml:space="preserve">, p=.541)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(k_imp=58) gợi ý nhiều negative findings về I→P không được công bố — cần incentivize null result publication</w:t>
      </w:r>
      <w:r>
        <w:t xml:space="preserve"> </w:t>
      </w:r>
      <w:r>
        <w:t xml:space="preserve">- Cải thiện institutional quality vẫn quan trọng, song bằng chứng meta cấp literature về moderation thể chế trực tiếp là yếu (ICRV omnibus không bền vững khi bỏ ô Frontier, Q_M=1.49, p=.68); tác động thể chế bộc lộ rõ hơn ở cấp doanh nghiệp qua tương tác có điều kiện (CDCM)</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6-regime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các cấp lồng nhau — một cải tiến quan trọng so với single-level pooling truyền thống. Kết quả cho thấy tổng</w:t>
      </w:r>
      <w:r>
        <w:t xml:space="preserve"> </w:t>
      </w:r>
      <m:oMath>
        <m:sSup>
          <m:e>
            <m:r>
              <m:t>I</m:t>
            </m:r>
          </m:e>
          <m:sup>
            <m:r>
              <m:t>2</m:t>
            </m:r>
          </m:sup>
        </m:sSup>
        <m:r>
          <m:rPr>
            <m:sty m:val="p"/>
          </m:rPr>
          <m:t>=</m:t>
        </m:r>
        <m:r>
          <m:t>62.4</m:t>
        </m:r>
        <m:r>
          <m:rPr>
            <m:sty m:val="p"/>
          </m:rPr>
          <m:t>%</m:t>
        </m:r>
      </m:oMath>
      <w:r>
        <w:t xml:space="preserve"> </w:t>
      </w:r>
      <w:r>
        <w:t xml:space="preserve">chủ yếu nằm ở within-study variance (Level 2, 54.1%) hơn là between-study (Level 3, 8.4%), xác nhận rằng</w:t>
      </w:r>
      <w:r>
        <w:t xml:space="preserve"> </w:t>
      </w:r>
      <w:r>
        <w:rPr>
          <w:bCs/>
          <w:b/>
        </w:rPr>
        <w:t xml:space="preserve">các lựa chọn phương pháp bên trong nghiên cứu</w:t>
      </w:r>
      <w:r>
        <w:t xml:space="preserve"> </w:t>
      </w:r>
      <w:r>
        <w:t xml:space="preserve">— chứ không phải khác biệt bối cảnh quốc gia — là nguồn chính của heterogeneity I→P.</w:t>
      </w:r>
    </w:p>
    <w:p>
      <w:pPr>
        <w:pStyle w:val="BodyText"/>
      </w:pPr>
      <w:r>
        <w:t xml:space="preserve">Về lý thuyết, kết quả thực tế từ MARA (k=238, K=288) cho thấy: kiểm định omnibus ICRV (Hm2) CÓ ý nghĩa trên toàn mẫu (Q_M=17.35, p=.002) nhưng KHÔNG bền vững — bỏ ô Frontier (k=3) thì về không có ý nghĩa (Q_M=1.49, p=.68) — nên moderation thể chế trực tiếp không được xác nhận robust và gradient đơn điệu E1a/E1b cũng không; Hm3 (cDAI amplification) không được ủng hộ (Q_M=1.23, p=.541); Hm4 (DPL evolution) không được ủng hộ (Q_M=0.56,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School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v2.4 (24/05/2026). NCS: Đỗ Thùy Hương. HD: PGS.TS. Phan Anh Tú. Trường Đại học Cần Thơ. Trường Kinh tế. Chuyên ngành: Quản trị kinh doanh. Kết quả Mục 4 từ</w:t>
      </w:r>
      <w:r>
        <w:rPr>
          <w:iCs/>
          <w:i/>
        </w:rPr>
        <w:t xml:space="preserve"> </w:t>
      </w:r>
      <w:r>
        <w:rPr>
          <w:rStyle w:val="VerbatimChar"/>
          <w:iCs/>
          <w:i/>
        </w:rPr>
        <w:t xml:space="preserve">p6_real_mara.py</w:t>
      </w:r>
      <w:r>
        <w:rPr>
          <w:iCs/>
          <w:i/>
        </w:rPr>
        <w:t xml:space="preserve">/</w:t>
      </w:r>
      <w:r>
        <w:rPr>
          <w:rStyle w:val="VerbatimChar"/>
          <w:iCs/>
          <w:i/>
        </w:rPr>
        <w:t xml:space="preserve">p6_real_mara.R</w:t>
      </w:r>
      <w:r>
        <w:rPr>
          <w:iCs/>
          <w:i/>
        </w:rPr>
        <w:t xml:space="preserve"> </w:t>
      </w:r>
      <w:r>
        <w:rPr>
          <w:iCs/>
          <w:i/>
        </w:rPr>
        <w:t xml:space="preserve">(K=288, k=238, coded baseline đã xác minh). Database canonical:</w:t>
      </w:r>
      <w:r>
        <w:rPr>
          <w:iCs/>
          <w:i/>
        </w:rPr>
        <w:t xml:space="preserve"> </w:t>
      </w:r>
      <w:r>
        <w:rPr>
          <w:rStyle w:val="VerbatimChar"/>
          <w:iCs/>
          <w:i/>
        </w:rPr>
        <w:t xml:space="preserve">p6/data/p6_study_database.csv</w:t>
      </w:r>
      <w:r>
        <w:rPr>
          <w:iCs/>
          <w:i/>
        </w:rPr>
        <w:t xml:space="preserve"> </w:t>
      </w:r>
      <w:r>
        <w:rPr>
          <w:iCs/>
          <w:i/>
        </w:rPr>
        <w:t xml:space="preserve">(k=238, K=288 effect sizes, hand-coded baseline).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canonical tracker v3:</w:t>
      </w:r>
      <w:r>
        <w:rPr>
          <w:iCs/>
          <w:i/>
        </w:rPr>
        <w:t xml:space="preserve"> </w:t>
      </w:r>
      <w:r>
        <w:rPr>
          <w:rStyle w:val="VerbatimChar"/>
          <w:iCs/>
          <w:i/>
        </w:rPr>
        <w:t xml:space="preserve">p6/tools/results/fulltext_to_extraction_tracker_v3.csv</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2026-05-28T10:12:04Z</dcterms:created>
  <dcterms:modified xsi:type="dcterms:W3CDTF">2026-05-28T10:12:04Z</dcterms:modified>
</cp:coreProperties>
</file>

<file path=docProps/custom.xml><?xml version="1.0" encoding="utf-8"?>
<Properties xmlns="http://schemas.openxmlformats.org/officeDocument/2006/custom-properties" xmlns:vt="http://schemas.openxmlformats.org/officeDocument/2006/docPropsVTypes"/>
</file>