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8"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Singapore offers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Within the observed export-intensity range, the I–P relationship is better characterized as predominantly positive with mild quadratic curvature than as an inverted-U, and the implied turning point lies in a sparsely populated upper tail. Technological capability is positively associated with labour productivity. No TCI moderation of the I–P curve is detected, however. Foundational digital adoption tells a more conditional story: it does not produce a uniform productivity premium, and its productivity association becomes more positive only at higher export intensity, with the clearest signal in the high-export tail. This pattern suggests that foundational digital adoption operates as a contingent scaling resource whose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Much of this literature, however, was developed in pre-digital or transitional-digital settings, where institutional and infrastructural conditions differ substantially from those of digitally advanced economies (Peng 2003; Peng et al. 2008). It may therefore not fully capture how the I–P curve behaves once firms operate in a digitally advanced institutional environment. The conditions that make Singapore distinctive are well documented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The Smart Nation 2.0 initiative (launched 2024) goes further, formalizing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this study terms a</w:t>
      </w:r>
      <w:r>
        <w:t xml:space="preserve"> </w:t>
      </w:r>
      <w:r>
        <w:rPr>
          <w:iCs/>
          <w:i/>
        </w:rPr>
        <w:t xml:space="preserve">digital saturation paradox</w:t>
      </w:r>
      <w:r>
        <w:t xml:space="preserve">. Where Tier 1–2 digital interfaces (websites, electronic payment systems) are already widely diffused, these tools function as hygiene factors for domestic operations rather than as differentiating assets. The near-universal Tier 1–2 diffusion is itself enabled by Singapore’s nationally deployed Digital Public Infrastructure (digital identity systems, payment rails, and data-exchange platforms), which the World Bank (2025a) identifies as the foundational enabling layer for firm-level digital adoption in advanced economies. The sample bears this out. Among Singapore firms, 82% report zero exports, while only 3% exceed 50% foreign sales to total sales, a striking domestic orientation despite the economy’s mature digital infrastructure. The productivity returns to foundational digital adoption should not, therefore, be expected to manifest uniformly across sampled firms. They should instead become measurable primarily when firms face the intensified coordination and transaction demands of cross-border activity. Singapore serves here as an analytically ideal stress test rather than a convenient empirical setting: an environment in which the conditional logic of foundational digital adoption is most legible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Research gap</w:t>
      </w:r>
      <w:r>
        <w:t xml:space="preserve"> </w:t>
      </w: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r>
        <w:t xml:space="preserve"> </w:t>
      </w:r>
      <w:r>
        <w:t xml:space="preserve">### 1.3 Contribution</w:t>
      </w:r>
      <w:r>
        <w:t xml:space="preserve"> </w:t>
      </w: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FSTS=82%,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Section 4.5 R1 indicator-sensitivity diagnostic further clarifies that the Tier-1+2 composition of DAI, which combines website presence with two-way electronic-payment intensity,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Section 5.1 for the construct-boundary discussion).</w:t>
      </w:r>
      <w:r>
        <w:t xml:space="preserve"> </w:t>
      </w:r>
      <w:r>
        <w:t xml:space="preserve">### 1.4 Roadmap</w:t>
      </w:r>
      <w:r>
        <w:t xml:space="preserve"> </w:t>
      </w: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t xml:space="preserve"> </w:t>
      </w:r>
      <w:r>
        <w:t xml:space="preserve">## 2 Theory and Hypotheses</w:t>
      </w:r>
      <w:r>
        <w:t xml:space="preserve"> </w:t>
      </w:r>
      <w:r>
        <w:t xml:space="preserve">### 2.1 The internationalization–performance relationship</w:t>
      </w:r>
      <w:r>
        <w:t xml:space="preserve"> </w:t>
      </w: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this study names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it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it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Start w:id="25" w:name="conceptual-model"/>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CaptionedFigure"/>
      </w:pPr>
      <w:r>
        <w:drawing>
          <wp:inline>
            <wp:extent cx="5753100" cy="3978568"/>
            <wp:effectExtent b="0" l="0" r="0" t="0"/>
            <wp:docPr descr="Figure 1: Conceptual model, TCI and DAI moderating the I–P relationship (Singapore)" title="" id="23" name="Picture"/>
            <a:graphic>
              <a:graphicData uri="http://schemas.openxmlformats.org/drawingml/2006/picture">
                <pic:pic>
                  <pic:nvPicPr>
                    <pic:cNvPr descr="figures/p4_singapore/figure_1_conceptual_model.png" id="24" name="Picture"/>
                    <pic:cNvPicPr>
                      <a:picLocks noChangeArrowheads="1" noChangeAspect="1"/>
                    </pic:cNvPicPr>
                  </pic:nvPicPr>
                  <pic:blipFill>
                    <a:blip r:embed="rId22"/>
                    <a:stretch>
                      <a:fillRect/>
                    </a:stretch>
                  </pic:blipFill>
                  <pic:spPr bwMode="auto">
                    <a:xfrm>
                      <a:off x="0" y="0"/>
                      <a:ext cx="5753100" cy="3978568"/>
                    </a:xfrm>
                    <a:prstGeom prst="rect">
                      <a:avLst/>
                    </a:prstGeom>
                    <a:noFill/>
                    <a:ln w="9525">
                      <a:noFill/>
                      <a:headEnd/>
                      <a:tailEnd/>
                    </a:ln>
                  </pic:spPr>
                </pic:pic>
              </a:graphicData>
            </a:graphic>
          </wp:inline>
        </w:drawing>
      </w:r>
    </w:p>
    <w:p>
      <w:pPr>
        <w:pStyle w:val="ImageCaption"/>
      </w:pPr>
      <w:r>
        <w:t xml:space="preserve">Figure 1: Conceptual model,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 FSTS²_c), is placed at left, and the dependent variable, ln(labour productivity), is placed at right. H1 (inverted-U tendency with support-constrained turning point ~82% FSTS, bootstrap CI [53%, 253%]) is grounded in coordination-cost theory (Hitt et al., 1997); the right-side decline is not formally identified within the observed FSTS range, a theoretically informative result under the saturation framework (Lind–Mehlum p = .303). H1-TCI: technological capability (TCI_z, RBV: Barney, 1991) enters as a direct level-shift to firm performance. H2: DAI (Tier-1+2: website + e-payment) exhibits a non-uniform positive direct effect that varies across export intensity. H3: DAI amplifies the internationalisation-to-performance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the H3 amplification test is conducted on the exporters-only subsample (n ≈ 84; power ≈ 16%), and provides a corroborating signal rather than independent identification. ICRV context: Singapore, Advanced I. Data: WBES 2023; N = 623.</w:t>
      </w:r>
      <w:r>
        <w:t xml:space="preserve"> </w:t>
      </w:r>
      <w:r>
        <w:t xml:space="preserve">## 3 Methods</w:t>
      </w:r>
      <w:r>
        <w:t xml:space="preserve"> </w:t>
      </w:r>
      <w:r>
        <w:t xml:space="preserve">### 3.1 Data</w:t>
      </w:r>
      <w:r>
        <w:t xml:space="preserve"> </w:t>
      </w: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Vietnam 2009–2015). The key result is that the FSTS²×DAI quadratic interaction coefficient attenuates substantially, from β = +3.119 (p = .005) in the Tier-1+2 specification to a smaller and statistically weaker estimate, while the Tier-1+2 full model’s adjusted R² 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3.2.5 Variable definitions</w:t>
      </w:r>
    </w:p>
    <w:p>
      <w:pPr>
        <w:pStyle w:val="BodyText"/>
      </w:pPr>
      <w:r>
        <w:rPr>
          <w:bCs/>
          <w:b/>
        </w:rPr>
        <w:t xml:space="preserve">Table 0. Variable definitions and WBES item sources (Singapore 2023).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25"/>
    <w:bookmarkStart w:id="26"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baseline):</w:t>
      </w:r>
      <w:r>
        <w:t xml:space="preserve"> </w:t>
      </w:r>
      <w:r>
        <w:t xml:space="preserve">ln(LP)ᵢ = α + γ₁ ln(Emp)ᵢ + γ₂ FirmAgeᵢ + γ₃ ForeignOwnᵢ + δ_s + εᵢ</w:t>
      </w:r>
    </w:p>
    <w:p>
      <w:pPr>
        <w:pStyle w:val="BodyText"/>
      </w:pPr>
      <w:r>
        <w:rPr>
          <w:bCs/>
          <w:b/>
        </w:rPr>
        <w:t xml:space="preserve">M1 (Linear FSTS):</w:t>
      </w:r>
      <w:r>
        <w:t xml:space="preserve"> </w:t>
      </w:r>
      <w:r>
        <w:t xml:space="preserve">ln(LP)ᵢ = α + β₁ FSTS_cᵢ + γ·Xᵢ + δ_s + εᵢ</w:t>
      </w:r>
    </w:p>
    <w:p>
      <w:pPr>
        <w:pStyle w:val="BodyText"/>
      </w:pPr>
      <w:r>
        <w:rPr>
          <w:bCs/>
          <w:b/>
        </w:rPr>
        <w:t xml:space="preserve">M2 (Quadratic FSTS, H1 baseline curvature test):</w:t>
      </w:r>
      <w:r>
        <w:t xml:space="preserve"> </w:t>
      </w:r>
      <w:r>
        <w:t xml:space="preserve">ln(LP)ᵢ = α + β₁ FSTS_cᵢ + β₂ FSTS_c²ᵢ + γ·Xᵢ + δ_s + εᵢ</w:t>
      </w:r>
      <w:r>
        <w:t xml:space="preserve"> </w:t>
      </w:r>
      <w:r>
        <w:t xml:space="preserve">Turning point: TP* = −β₁ / (2β₂) + mean(FSTS) [H1: expected TP support-constrained; LM test p = .303]</w:t>
      </w:r>
    </w:p>
    <w:p>
      <w:pPr>
        <w:pStyle w:val="BodyText"/>
      </w:pPr>
      <w:r>
        <w:rPr>
          <w:bCs/>
          <w:b/>
        </w:rPr>
        <w:t xml:space="preserve">M3 (TCI direct, H1-TCI level effect):</w:t>
      </w:r>
      <w:r>
        <w:t xml:space="preserve"> </w:t>
      </w:r>
      <w:r>
        <w:t xml:space="preserve">ln(LP)ᵢ = α + β₁ FSTS_cᵢ + β₂ FSTS_c²ᵢ + β₃ TCI_zᵢ + γ·Xᵢ + δ_s + εᵢ</w:t>
      </w:r>
    </w:p>
    <w:p>
      <w:pPr>
        <w:pStyle w:val="BodyText"/>
      </w:pPr>
      <w:r>
        <w:rPr>
          <w:bCs/>
          <w:b/>
        </w:rPr>
        <w:t xml:space="preserve">M4 (TCI moderation, supplementary):</w:t>
      </w:r>
      <w:r>
        <w:t xml:space="preserve"> </w:t>
      </w:r>
      <w:r>
        <w:t xml:space="preserve">ln(LP)ᵢ = α + β₁ FSTS_cᵢ + β₂ FSTS_c²ᵢ + β₃ TCI_zᵢ + β₄(FSTS_cᵢ × TCI_zᵢ) + β₅(FSTS_c²ᵢ × TCI_zᵢ) + γ·Xᵢ + δ_s + εᵢ</w:t>
      </w:r>
    </w:p>
    <w:p>
      <w:pPr>
        <w:pStyle w:val="BodyText"/>
      </w:pPr>
      <w:r>
        <w:rPr>
          <w:bCs/>
          <w:b/>
        </w:rPr>
        <w:t xml:space="preserve">M5 (DAI direct, H2 test):</w:t>
      </w:r>
      <w:r>
        <w:t xml:space="preserve"> </w:t>
      </w:r>
      <w:r>
        <w:t xml:space="preserve">ln(LP)ᵢ = α + β₁ FSTS_cᵢ + β₂ FSTS_c²ᵢ + β₃ DAI_zᵢ + γ·Xᵢ + δ_s + εᵢ</w:t>
      </w:r>
    </w:p>
    <w:p>
      <w:pPr>
        <w:pStyle w:val="BodyText"/>
      </w:pPr>
      <w:r>
        <w:rPr>
          <w:bCs/>
          <w:b/>
        </w:rPr>
        <w:t xml:space="preserve">M6 (Dual direct effects):</w:t>
      </w:r>
      <w:r>
        <w:t xml:space="preserve"> </w:t>
      </w:r>
      <w:r>
        <w:t xml:space="preserve">ln(LP)ᵢ = α + β₁ FSTS_cᵢ + β₂ FSTS_c²ᵢ + β₃ TCI_zᵢ + β₄ DAI_zᵢ + γ·Xᵢ + δ_s + εᵢ</w:t>
      </w:r>
    </w:p>
    <w:p>
      <w:pPr>
        <w:pStyle w:val="BodyText"/>
      </w:pPr>
      <w:r>
        <w:rPr>
          <w:bCs/>
          <w:b/>
        </w:rPr>
        <w:t xml:space="preserve">M7 (DAI linear interaction):</w:t>
      </w:r>
      <w:r>
        <w:t xml:space="preserve"> </w:t>
      </w:r>
      <w:r>
        <w:t xml:space="preserve">ln(LP)ᵢ = α + β₁ FSTS_cᵢ + β₂ FSTS_c²ᵢ + β₃ TCI_zᵢ + β₄ DAI_zᵢ + β₅(FSTS_cᵢ × DAI_zᵢ) + γ·Xᵢ + δ_s + εᵢ</w:t>
      </w:r>
    </w:p>
    <w:p>
      <w:pPr>
        <w:pStyle w:val="BodyText"/>
      </w:pPr>
      <w:r>
        <w:rPr>
          <w:bCs/>
          <w:b/>
        </w:rPr>
        <w:t xml:space="preserve">M8 (Full moderation model, H3 primary test):</w:t>
      </w:r>
      <w:r>
        <w:t xml:space="preserve"> </w:t>
      </w:r>
      <w:r>
        <w:t xml:space="preserve">ln(LP)ᵢ = α + β₁ FSTS_cᵢ + β₂ FSTS_c²ᵢ + β₃ TCI_zᵢ + β₄ DAI_zᵢ + β₅(FSTS_cᵢ × DAI_zᵢ) + β₆(FSTS_c²ᵢ × DAI_zᵢ) + γ·Xᵢ + δ_s + εᵢ</w:t>
      </w:r>
      <w:r>
        <w:t xml:space="preserve"> </w:t>
      </w:r>
      <w:r>
        <w:t xml:space="preserve">[H3: β₆ &gt; 0 (p &lt; .01), amplification; confirmed: β₆ = +3.119, p =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Section 3.4(iv)).</w:t>
      </w:r>
    </w:p>
    <w:p>
      <w:pPr>
        <w:pStyle w:val="BodyText"/>
      </w:pPr>
      <w:r>
        <w:t xml:space="preserve">The full model includes centred FSTS, squared centred FSTS, TCI, DAI, the interaction between FSTS and DAI, and the quadratic interaction between FSTS²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cross-sectional variation in trade costs, export-promotion eligibility, or broadband-rollout timing is not available within the survey frame,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Section 3.4 below for transparency, but is not treated as the primary specification. The associational nature of the OLS estimates is therefore acknowledged upfront, and inferential claims are bounded to within-context associations rather than causal effects.</w:t>
      </w:r>
    </w:p>
    <w:bookmarkEnd w:id="26"/>
    <w:bookmarkStart w:id="27" w:name="X0fcf099929e626b10071b523c2c83735d5a4cd9"/>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Section 4 results can be presented without recurrent caveats and the Section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82 %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Section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 ≈ 16%), we are underpowered to detect interaction effects of β &lt; 1.5 standard deviations; (b)</w:t>
      </w:r>
      <w:r>
        <w:t xml:space="preserve"> </w:t>
      </w:r>
      <w:r>
        <w:rPr>
          <w:iCs/>
          <w:i/>
        </w:rPr>
        <w:t xml:space="preserve">Methodological remedy</w:t>
      </w:r>
      <w:r>
        <w:t xml:space="preserve">: panel data or an exporter oversampling design with N ≥ 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but the appropriate reading of this null is not</w:t>
      </w:r>
      <w:r>
        <w:t xml:space="preserve"> </w:t>
      </w:r>
      <w:r>
        <w:t xml:space="preserve">“</w:t>
      </w:r>
      <w:r>
        <w:t xml:space="preserve">the inverted-U fails</w:t>
      </w:r>
      <w:r>
        <w:t xml:space="preserve">”</w:t>
      </w:r>
      <w:r>
        <w:t xml:space="preserve">, because the test is conditioned on dense support around the turning point, which the Section 3.4(i) sample-support boundary establishes is absent here. Read against the saturation hypothesis developed in Section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Section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(β = 0.264, SE = 0.138, t = 1.92, p = .055) is just above the .05 threshold,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Section 4 results below are reported on this consolidated identification scope, and Section 5 interprets the substantive findings without further re-litigation of these boundary conditions.</w:t>
      </w:r>
    </w:p>
    <w:bookmarkEnd w:id="27"/>
    <w:bookmarkEnd w:id="28"/>
    <w:bookmarkStart w:id="39" w:name="results"/>
    <w:p>
      <w:pPr>
        <w:pStyle w:val="Heading2"/>
      </w:pPr>
      <w:r>
        <w:t xml:space="preserve">4 Results</w:t>
      </w:r>
    </w:p>
    <w:bookmarkStart w:id="29"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(β = +2.652, SE = 0.691, p &lt; .001), whereas the squared term is negative (β =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where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9"/>
    <w:bookmarkStart w:id="36" w:name="tci-results"/>
    <w:p>
      <w:pPr>
        <w:pStyle w:val="Heading3"/>
      </w:pPr>
      <w:r>
        <w:t xml:space="preserve">4.3 TCI results</w:t>
      </w:r>
    </w:p>
    <w:p>
      <w:pPr>
        <w:pStyle w:val="FirstParagraph"/>
      </w:pPr>
      <w:r>
        <w:t xml:space="preserve">The direct-effect model for technological capability (Model M5) indicates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(β = 0.104, SE = 0.038, p = .007). However, once TCI is included alongside DAI in Model M7, the DAI coefficient attenuates to β = 0.077 and remains statistically significant but attenuated (p =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but does not reach conventional significance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31" name="Picture"/>
            <a:graphic>
              <a:graphicData uri="http://schemas.openxmlformats.org/drawingml/2006/picture">
                <pic:pic>
                  <pic:nvPicPr>
                    <pic:cNvPr descr="figures/p4_singapore/figure_2_dai_marginal_effect.png" id="32" name="Picture"/>
                    <pic:cNvPicPr>
                      <a:picLocks noChangeArrowheads="1" noChangeAspect="1"/>
                    </pic:cNvPicPr>
                  </pic:nvPicPr>
                  <pic:blipFill>
                    <a:blip r:embed="rId3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34" name="Picture"/>
            <a:graphic>
              <a:graphicData uri="http://schemas.openxmlformats.org/drawingml/2006/picture">
                <pic:pic>
                  <pic:nvPicPr>
                    <pic:cNvPr descr="figures/p4_singapore/figure_3_predicted_ip_curve.png" id="35" name="Picture"/>
                    <pic:cNvPicPr>
                      <a:picLocks noChangeArrowheads="1" noChangeAspect="1"/>
                    </pic:cNvPicPr>
                  </pic:nvPicPr>
                  <pic:blipFill>
                    <a:blip r:embed="rId3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82% on the original scale (−β₁/2β₂ on mean-centered FSTS ≈ 77.8%; adding back the sample mean of 0.045 gives ≈ 82%,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36"/>
    <w:bookmarkStart w:id="37" w:name="robustness-checks"/>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statistically significant (F = 6.32, p =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r>
        <w:t xml:space="preserve"> </w:t>
      </w: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Framed as a</w:t>
      </w:r>
      <w:r>
        <w:t xml:space="preserve"> </w:t>
      </w:r>
      <w:r>
        <w:rPr>
          <w:iCs/>
          <w:i/>
        </w:rPr>
        <w:t xml:space="preserve">fixed-transaction-cost amortization</w:t>
      </w:r>
      <w:r>
        <w:t xml:space="preserve"> </w:t>
      </w:r>
      <w:r>
        <w:t xml:space="preserve">logic, the sunk fixed cost of installing advanced digital interfaces is recovered only at extreme export scale; this is one reason the implied turning point is pushed into the high-FSTS tail (≈82%) rather than the conventional 30–60% range (a support-constrained estimate, not a precise threshold). In this role DAI operates as a</w:t>
      </w:r>
      <w:r>
        <w:t xml:space="preserve"> </w:t>
      </w:r>
      <w:r>
        <w:rPr>
          <w:iCs/>
          <w:i/>
        </w:rPr>
        <w:t xml:space="preserve">scale lubricant</w:t>
      </w:r>
      <w:r>
        <w:t xml:space="preserve"> </w:t>
      </w:r>
      <w:r>
        <w:t xml:space="preserve">that lowers the marginal coordination cost of each additional unit of cross-border throughput, rather than as a uniform firm-wide premium. The absence of a uniform DAI premium across the full sample is itself theoretically informative: in an environment where Tier 1–2 digital tools are near-universally diffused, these tools cannot generate cross-sectional productivity advantages in domestic operations, which is consistent with the digital saturation paradox outlined in the introduction. Their measurable return surfaces only when the scaling demands of high export intensity justify intensive use of digital interfaces and transaction systems. The scale of Singapore’s innovation ecosystem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confirms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Section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for which no instrument satisfying the exclusion restriction is available in the single-wave Singapore design, and the Section 4.5 (ii) Heckman sensitivity diagnostic indicates mild but non-eliminating extensive-margin selection. Read together, the evidence supports amplification as the focal mechanism while retaining selection as a bounded residual concern, in line with the Section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The Section 4.5 R1 specification makes this clear: when DAI is reduced to the website-only Tier-1 binary, the quadratic interaction weakens substantially (β drops from +3.119 to +1.552, joint F retained marginal at 4.01, p =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website presence (c22b) combined with electronic payment integration (k33/k38) embedded in the public digital infrastructure, enabling firms to execute frictionless cross-border transactions. In contrast, in transitional economies where Tier-2 payment infrastructure remains institutionally bounded (settings where cross-border electronic-payment rails reached systemic scale only in the late 2010s, as documented across lower-middle-income Asia in World Bank digital infrastructure assessments (World Bank, 2023)), the WBES website indicator captures Tier-1 presence only, and the amplification mechanism loses empirical legibility because the payment-integration channel is absent. The implication is that the amplification ceiling is not a Singapore-specific idiosyncrasy but a Tier-1+2 threshold effect: economies that upgrade payment infrastructure to Tier-2 coverage should expect the conditional complementarity pattern to become empirically detectable. This reframes Singapore from an outlier case to a leading indicator of where Tier-2 adoption leads.</w:t>
      </w:r>
    </w:p>
    <w:bookmarkEnd w:id="37"/>
    <w:bookmarkStart w:id="38" w:name="managerial-implications"/>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38"/>
    <w:bookmarkEnd w:id="39"/>
    <w:bookmarkStart w:id="4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40"/>
    <w:bookmarkStart w:id="41" w:name="funding"/>
    <w:p>
      <w:pPr>
        <w:pStyle w:val="Heading2"/>
      </w:pPr>
      <w:r>
        <w:t xml:space="preserve">Funding</w:t>
      </w:r>
    </w:p>
    <w:p>
      <w:pPr>
        <w:pStyle w:val="FirstParagraph"/>
      </w:pPr>
      <w:r>
        <w:t xml:space="preserve">This research received no external funding.</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 https://www.enterprisesurveys.org. Processed data and replication code are available from the corresponding author upon reasonable request.</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 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 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 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2026-05-28T10:53:08Z</dcterms:created>
  <dcterms:modified xsi:type="dcterms:W3CDTF">2026-05-28T10:53:08Z</dcterms:modified>
</cp:coreProperties>
</file>

<file path=docProps/custom.xml><?xml version="1.0" encoding="utf-8"?>
<Properties xmlns="http://schemas.openxmlformats.org/officeDocument/2006/custom-properties" xmlns:vt="http://schemas.openxmlformats.org/officeDocument/2006/docPropsVTypes"/>
</file>