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 Digital Adoption Index (DAI) điều tiết theo ngữ cảnh và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 Digital Adoption Index (DAI) moderating contingently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 DAI nguồn lực mở rộng tình huống</w:t>
            </w:r>
          </w:p>
        </w:tc>
        <w:tc>
          <w:tcPr/>
          <w:p>
            <w:pPr>
              <w:pStyle w:val="Compact"/>
              <w:jc w:val="left"/>
            </w:pPr>
            <w:r>
              <w:t xml:space="preserve">P4: DAI×FSTS² = +3,119; P3: IV null (β = 0,018)</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dc5423e7a0a0b2d3707e5b67f7523984c238683"/>
    <w:p>
      <w:pPr>
        <w:pStyle w:val="Heading5"/>
      </w:pPr>
      <w:r>
        <w:t xml:space="preserve">Hình 2.1 —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5"/>
    <w:bookmarkStart w:id="46" w:name="hình-22--cơ-chế-cdcm-chi-tiết"/>
    <w:p>
      <w:pPr>
        <w:pStyle w:val="Heading5"/>
      </w:pPr>
      <w:r>
        <w:t xml:space="preserve">Hình 2.2 —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h3--dai-điều-tiết-theo-ngữ-cảnh-cdcm"/>
    <w:p>
      <w:pPr>
        <w:pStyle w:val="Heading5"/>
      </w:pPr>
      <w:r>
        <w:t xml:space="preserve">H3 — DAI điều tiết theo ngữ cảnh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Digital Adoption Index (DAI) không hoạt động như một phần thưởng năng suất đồng nhất mà như một nguồn lực mở rộng tình huống theo CDCM: tác động của DAI lên ln(LP) phụ thuộc vào chế độ thể chế (ICRV), mức FSTS, và mức độ bão hòa số. Cụ thể: (a) β(FSTS²×DAI) &gt; 0 trong Nhóm I; (b) tác động DAI yếu hoặc phụ thuộc chọn lựa trong Nhóm IV; (c) TCI và DAI là hai cấu trúc phân biệt và không thể thay thế nhau.</w:t>
      </w:r>
    </w:p>
    <w:bookmarkEnd w:id="52"/>
    <w:bookmarkStart w:id="53"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w:t>
            </w:r>
          </w:p>
        </w:tc>
        <w:tc>
          <w:tcPr/>
          <w:p>
            <w:pPr>
              <w:pStyle w:val="Compact"/>
              <w:jc w:val="left"/>
            </w:pPr>
            <w:r>
              <w:t xml:space="preserve">DAI tình huống</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Phụ thuộc ngữ cảnh (β &gt; 0 ở Nhóm I)</w:t>
            </w:r>
          </w:p>
        </w:tc>
        <w:tc>
          <w:tcPr/>
          <w:p>
            <w:pPr>
              <w:pStyle w:val="Compact"/>
              <w:jc w:val="left"/>
            </w:pPr>
            <w:r>
              <w:t xml:space="preserve">P4 +3,119; P3 IV null</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Tám giả thuyết (H1–H6, với H4 tách thành H4a/H4b/H4c) tạo thành hệ thống logic nhất quán: H1 (phi tuyến) là trọng tâm; H2 (TCI) và H3 (DAI) phân rã cơ chế năng lực doanh nghiệp; H4a–H4c (Quản trị) bổ sung tầng Upper Echelons với dấu kỳ vọng phân biệt theo từng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64"/>
    <w:bookmarkStart w:id="65"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w:t>
            </w:r>
          </w:p>
        </w:tc>
        <w:tc>
          <w:tcPr/>
          <w:p>
            <w:pPr>
              <w:pStyle w:val="Compact"/>
              <w:jc w:val="left"/>
            </w:pPr>
            <w:r>
              <w:t xml:space="preserve">β₅ &gt; 0 Nhóm I; IV check</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 (DAI tình huống) FSTS²×DAI dương trong Nhóm I, phụ thuộc chọn lựa trong Nhóm IV;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2">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3">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5">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8"/>
    <w:bookmarkStart w:id="123" w:name="phụ-lục"/>
    <w:p>
      <w:pPr>
        <w:pStyle w:val="Heading2"/>
      </w:pPr>
      <w:r>
        <w:t xml:space="preserve">PHỤ LỤC</w:t>
      </w:r>
    </w:p>
    <w:bookmarkStart w:id="119"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19"/>
    <w:bookmarkStart w:id="120"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0"/>
    <w:bookmarkStart w:id="121"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1"/>
    <w:bookmarkStart w:id="122"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2"/>
    <w:bookmarkEnd w:id="123"/>
    <w:bookmarkEnd w:id="1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2026-05-16T16:08:13Z</dcterms:created>
  <dcterms:modified xsi:type="dcterms:W3CDTF">2026-05-16T16:08:13Z</dcterms:modified>
</cp:coreProperties>
</file>

<file path=docProps/custom.xml><?xml version="1.0" encoding="utf-8"?>
<Properties xmlns="http://schemas.openxmlformats.org/officeDocument/2006/custom-properties" xmlns:vt="http://schemas.openxmlformats.org/officeDocument/2006/docPropsVTypes"/>
</file>