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which shows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Because we report associations rather than effects, the evidence sharpens the distinction between technological capability and foundational digital adoption; this implies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w:t>
      </w:r>
      <w:r>
        <w:t xml:space="preserve"> </w:t>
      </w:r>
      <m:oMath>
        <m:r>
          <m:t>β</m:t>
        </m:r>
      </m:oMath>
      <w:r>
        <w:t xml:space="preserve">=+3.119,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w:t>
      </w:r>
      <w:r>
        <w:t xml:space="preserve"> </w:t>
      </w:r>
      <m:oMath>
        <m:r>
          <m:rPr>
            <m:nor/>
            <m:sty m:val="p"/>
          </m:rPr>
          <m:t>DAI</m:t>
        </m:r>
        <m:r>
          <m:rPr>
            <m:sty m:val="p"/>
          </m:rPr>
          <m:t>×</m:t>
        </m:r>
        <m:r>
          <m:rPr>
            <m:nor/>
            <m:sty m:val="p"/>
          </m:rPr>
          <m:t>FSTS</m:t>
        </m:r>
      </m:oMath>
      <w:r>
        <w:t xml:space="preserve"> </w:t>
      </w:r>
      <w:r>
        <w:t xml:space="preserve">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(p = .056, approaching conventional significance thresholds).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and marginal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w:t>
      </w:r>
      <w:r>
        <w:t xml:space="preserve"> </w:t>
      </w:r>
      <m:oMath>
        <m:r>
          <m:rPr>
            <m:sty m:val="p"/>
          </m:rPr>
          <m:t>≈</m:t>
        </m:r>
      </m:oMath>
      <w:r>
        <w:t xml:space="preserve"> </w:t>
      </w:r>
      <w:r>
        <w:t xml:space="preserve">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These effect sizes reinforce a cautious interpretation. A formal power analysis underscores the implication: at</w:t>
      </w:r>
      <w:r>
        <w:t xml:space="preserve"> </w:t>
      </w:r>
      <m:oMath>
        <m:sSup>
          <m:e>
            <m:r>
              <m:t>f</m:t>
            </m:r>
          </m:e>
          <m:sup>
            <m:r>
              <m:t>2</m:t>
            </m:r>
          </m:sup>
        </m:sSup>
      </m:oMath>
      <w:r>
        <w:t xml:space="preserve">=0.018 with</w:t>
      </w:r>
      <w:r>
        <w:t xml:space="preserve"> </w:t>
      </w:r>
      <m:oMath>
        <m:r>
          <m:t>α</m:t>
        </m:r>
      </m:oMath>
      <w:r>
        <w:t xml:space="preserve">=.05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w:t>
      </w:r>
      <w:r>
        <w:t xml:space="preserve"> </w:t>
      </w:r>
      <m:oMath>
        <m:sSup>
          <m:e>
            <m:r>
              <m:t>f</m:t>
            </m:r>
          </m:e>
          <m:sup>
            <m:r>
              <m:t>2</m:t>
            </m:r>
          </m:sup>
        </m:sSup>
      </m:oMath>
      <w:r>
        <w:t xml:space="preserve">=0.018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w:t>
      </w:r>
      <w:r>
        <w:t xml:space="preserve"> </w:t>
      </w:r>
      <m:oMath>
        <m:r>
          <m:t>β</m:t>
        </m:r>
      </m:oMath>
      <w:r>
        <w:t xml:space="preserve">=+2.821,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w:t>
      </w:r>
      <m:oMath>
        <m:r>
          <m:t>β</m:t>
        </m:r>
      </m:oMath>
      <w:r>
        <w:t xml:space="preserve"> </w:t>
      </w:r>
      <w:r>
        <w:t xml:space="preserve">= 0.264, SE = 0.138, t = 1.92, p = .055), indicating mild selection at the extensive margin of export participation. The key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w:t>
      </w:r>
      <m:oMath>
        <m:r>
          <m:t>Δ</m:t>
        </m:r>
      </m:oMath>
      <w:r>
        <w:t xml:space="preserve">|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jc w:val="left"/>
            </w:pPr>
            <w:r>
              <w:t xml:space="preserve">Joint F (p)</w:t>
            </w:r>
          </w:p>
        </w:tc>
        <w:tc>
          <w:tcPr/>
          <w:p>
            <w:pPr>
              <w:pStyle w:val="Compact"/>
              <w:jc w:val="left"/>
            </w:pPr>
            <w:r>
              <w:t xml:space="preserve">Adj.</w:t>
            </w:r>
            <w:r>
              <w:t xml:space="preserve"> </w:t>
            </w:r>
            <m:oMath>
              <m:sSup>
                <m:e>
                  <m:r>
                    <m:t>R</m:t>
                  </m:r>
                </m:e>
                <m:sup>
                  <m:r>
                    <m:t>2</m:t>
                  </m:r>
                </m:sup>
              </m:sSup>
            </m:oMath>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m:oMath>
        <m:r>
          <m:rPr>
            <m:sty m:val="p"/>
          </m:rPr>
          <m:t>≈</m:t>
        </m:r>
      </m:oMath>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w:t>
      </w:r>
      <m:oMath>
        <m:r>
          <m:t>β</m:t>
        </m:r>
      </m:oMath>
      <w:r>
        <w:t xml:space="preserve">=+3.119,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w:t>
      </w:r>
      <m:oMath>
        <m:r>
          <m:t>β</m:t>
        </m:r>
      </m:oMath>
      <w:r>
        <w:t xml:space="preserve"> </w:t>
      </w:r>
      <w:r>
        <w:t xml:space="preserve">=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bookmarkEnd w:id="64"/>
    <w:bookmarkStart w:id="6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5"/>
    <w:bookmarkStart w:id="95"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3">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4">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5">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0">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4">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2"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4" Target="https://doi.org/10.1002/smj.2995" TargetMode="External" /><Relationship Type="http://schemas.openxmlformats.org/officeDocument/2006/relationships/hyperlink" Id="rId87" Target="https://doi.org/10.1007/s11135-006-9018-6" TargetMode="External" /><Relationship Type="http://schemas.openxmlformats.org/officeDocument/2006/relationships/hyperlink" Id="rId84" Target="https://doi.org/10.1016/0304-4076(85)90158-7" TargetMode="External" /><Relationship Type="http://schemas.openxmlformats.org/officeDocument/2006/relationships/hyperlink" Id="rId81"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3"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0" Target="https://doi.org/10.1057/palgrave.jibs.8400073" TargetMode="External" /><Relationship Type="http://schemas.openxmlformats.org/officeDocument/2006/relationships/hyperlink" Id="rId89" Target="https://doi.org/10.1057/palgrave.jibs.8400377" TargetMode="External" /><Relationship Type="http://schemas.openxmlformats.org/officeDocument/2006/relationships/hyperlink" Id="rId86"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2"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5"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3"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8"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4" Target="https://doi.org/10.1002/smj.2995" TargetMode="External" /><Relationship Type="http://schemas.openxmlformats.org/officeDocument/2006/relationships/hyperlink" Id="rId87" Target="https://doi.org/10.1007/s11135-006-9018-6" TargetMode="External" /><Relationship Type="http://schemas.openxmlformats.org/officeDocument/2006/relationships/hyperlink" Id="rId84" Target="https://doi.org/10.1016/0304-4076(85)90158-7" TargetMode="External" /><Relationship Type="http://schemas.openxmlformats.org/officeDocument/2006/relationships/hyperlink" Id="rId81"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3"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0" Target="https://doi.org/10.1057/palgrave.jibs.8400073" TargetMode="External" /><Relationship Type="http://schemas.openxmlformats.org/officeDocument/2006/relationships/hyperlink" Id="rId89" Target="https://doi.org/10.1057/palgrave.jibs.8400377" TargetMode="External" /><Relationship Type="http://schemas.openxmlformats.org/officeDocument/2006/relationships/hyperlink" Id="rId86"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2"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5"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3"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8"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2026-05-31T03:48:01Z</dcterms:created>
  <dcterms:modified xsi:type="dcterms:W3CDTF">2026-05-31T03:48:01Z</dcterms:modified>
</cp:coreProperties>
</file>

<file path=docProps/custom.xml><?xml version="1.0" encoding="utf-8"?>
<Properties xmlns="http://schemas.openxmlformats.org/officeDocument/2006/custom-properties" xmlns:vt="http://schemas.openxmlformats.org/officeDocument/2006/docPropsVTypes"/>
</file>