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International Review</w:t>
      </w:r>
      <w:r>
        <w:t xml:space="preserve"> </w:t>
      </w:r>
      <w:r>
        <w:t xml:space="preserve">(Springer Gabler; Scopus Q1; ABS-3; FT-50 adjacent)</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MIR's open-science encouragement, the extended methodological appendices (PRISMA 2020 trace; full 7-moderator coding protocol; MetaEssentials-versus-</w:t>
      </w:r>
      <w:r>
        <w:rPr>
          <w:iCs/>
          <w:i/>
        </w:rPr>
        <w:t xml:space="preserve">metafor</w:t>
      </w:r>
      <w:r>
        <w:t xml:space="preserve"> </w:t>
      </w:r>
      <w:r>
        <w:t xml:space="preserve">consistency check) are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(meta-analysis)</w:t>
            </w:r>
          </w:p>
        </w:tc>
      </w:tr>
      <w:tr>
        <w:tc>
          <w:tcPr/>
          <w:p>
            <w:pPr>
              <w:pStyle w:val="Compact"/>
              <w:jc w:val="left"/>
            </w:pPr>
            <w:r>
              <w:t xml:space="preserve">Main-text prose</w:t>
            </w:r>
          </w:p>
        </w:tc>
        <w:tc>
          <w:tcPr/>
          <w:p>
            <w:pPr>
              <w:pStyle w:val="Compact"/>
              <w:jc w:val="left"/>
            </w:pPr>
            <m:oMath>
              <m:r>
                <m:rPr>
                  <m:sty m:val="p"/>
                </m:rPr>
                <m:t>≈</m:t>
              </m:r>
            </m:oMath>
            <w:r>
              <w:t xml:space="preserve"> </w:t>
            </w:r>
            <w:r>
              <w:t xml:space="preserve">11,700 words</w:t>
            </w:r>
          </w:p>
        </w:tc>
      </w:tr>
      <w:tr>
        <w:tc>
          <w:tcPr/>
          <w:p>
            <w:pPr>
              <w:pStyle w:val="Compact"/>
              <w:jc w:val="left"/>
            </w:pPr>
            <w:r>
              <w:t xml:space="preserve">Emerald-equivalent total</w:t>
            </w:r>
          </w:p>
        </w:tc>
        <w:tc>
          <w:tcPr/>
          <w:p>
            <w:pPr>
              <w:pStyle w:val="Compact"/>
              <w:jc w:val="left"/>
            </w:pPr>
            <m:oMath>
              <m:r>
                <m:rPr>
                  <m:sty m:val="p"/>
                </m:rPr>
                <m:t>≈</m:t>
              </m:r>
            </m:oMath>
            <w:r>
              <w:t xml:space="preserve"> </w:t>
            </w:r>
            <w:r>
              <w:t xml:space="preserve">17,000 (body + refs + 9 tables × 280 + 6 figures × 280)</w:t>
            </w:r>
          </w:p>
        </w:tc>
      </w:tr>
      <w:tr>
        <w:tc>
          <w:tcPr/>
          <w:p>
            <w:pPr>
              <w:pStyle w:val="Compact"/>
              <w:jc w:val="left"/>
            </w:pPr>
            <w:r>
              <w:t xml:space="preserve">Submission-build target</w:t>
            </w:r>
          </w:p>
        </w:tc>
        <w:tc>
          <w:tcPr/>
          <w:p>
            <w:pPr>
              <w:pStyle w:val="Compact"/>
              <w:jc w:val="left"/>
            </w:pPr>
            <m:oMath>
              <m:r>
                <m:rPr>
                  <m:sty m:val="p"/>
                </m:rPr>
                <m:t>≈</m:t>
              </m:r>
            </m:oMath>
            <w:r>
              <w:t xml:space="preserve"> </w:t>
            </w:r>
            <w:r>
              <w:t xml:space="preserve">12,000 (MIR cap) — appendices + 3–4 tables → OSF supplementary</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 (in-paper)</w:t>
            </w:r>
          </w:p>
        </w:tc>
        <w:tc>
          <w:tcPr/>
          <w:p>
            <w:pPr>
              <w:pStyle w:val="Compact"/>
              <w:jc w:val="left"/>
            </w:pPr>
            <w:r>
              <w:t xml:space="preserve">5–6 after OSF migration (currently 9)</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(MIR-compatible)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2026-05-30T14:43:46Z</dcterms:created>
  <dcterms:modified xsi:type="dcterms:W3CDTF">2026-05-30T14:43:46Z</dcterms:modified>
</cp:coreProperties>
</file>

<file path=docProps/custom.xml><?xml version="1.0" encoding="utf-8"?>
<Properties xmlns="http://schemas.openxmlformats.org/officeDocument/2006/custom-properties" xmlns:vt="http://schemas.openxmlformats.org/officeDocument/2006/docPropsVTypes"/>
</file>