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1.2,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first three-level MARA of the I-P literature; (2) first PRISMA-2020-compliant search with OSF pre-registration for this topic; (3) first within-study vs. between-study heterogeneity decomposition of I-P.</w:t>
      </w:r>
      <w:r>
        <w:t xml:space="preserve"> </w:t>
      </w:r>
      <w:r>
        <w:rPr>
          <w:iCs/>
          <w:i/>
        </w:rPr>
        <w:t xml:space="preserve">Theoretically</w:t>
      </w:r>
      <w:r>
        <w:t xml:space="preserve">: (4) first meta-analytic test of an ICRV 6-regime framework on a globally representative I-P corpus (five of six regimes populated; Pacific-SIDS Regime VI returns no qualifying studies); (5) first formal test of cDAI as a national digital-infrastructure moderator of I-P; (6) first test of DPL phase as a temporal moderator via three-level MARA. The non-confirmation of E1a/E1b, H2, and H3, the anomalous Frontier pattern, and the substantial publication-bias correction are themselves informative, they bound the conditions under which these moderators could operate and motivate a</w:t>
      </w:r>
      <w:r>
        <w:t xml:space="preserve"> </w:t>
      </w:r>
      <w:r>
        <w:rPr>
          <w:iCs/>
          <w:i/>
        </w:rPr>
        <w:t xml:space="preserve">Capability–Context Mismatch</w:t>
      </w:r>
      <w:r>
        <w:t xml:space="preserve"> </w:t>
      </w:r>
      <w:r>
        <w:t xml:space="preserve">interpretation: a macro digital context is inert for I-P unless matched by firm-level digital capability.</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analyzed corpus is</w:t>
      </w:r>
      <w:r>
        <w:t xml:space="preserve"> </w:t>
      </w:r>
      <w:r>
        <w:rPr>
          <w:iCs/>
          <w:i/>
        </w:rPr>
        <w:t xml:space="preserve">k</w:t>
      </w:r>
      <w:r>
        <w:t xml:space="preserve"> </w:t>
      </w:r>
      <w:r>
        <w:t xml:space="preserve">= 238 /</w:t>
      </w:r>
      <w:r>
        <w:t xml:space="preserve"> </w:t>
      </w:r>
      <w:r>
        <w:rPr>
          <w:iCs/>
          <w:i/>
        </w:rPr>
        <w:t xml:space="preserve">K</w:t>
      </w:r>
      <w:r>
        <w:t xml:space="preserve"> </w:t>
      </w:r>
      <w:r>
        <w:t xml:space="preserve">= 288 on</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w:t>
      </w:r>
      <w:r>
        <w:t xml:space="preserve"> </w:t>
      </w:r>
      <w:r>
        <w:rPr>
          <w:bCs/>
          <w:b/>
        </w:rPr>
        <w:t xml:space="preserve">Path B</w:t>
      </w:r>
      <w:r>
        <w:t xml:space="preserve"> </w:t>
      </w:r>
      <w:r>
        <w:t xml:space="preserve">is a pre-registered expansion via systematic WoS + Scopus search (20 May 2026): 3,263 records → 795 duplicates removed → 1,397 L1 excluded → 782 L2 screened over 8 rounds, yielding 785 Y / 1,694 N / 3 UNSURE; 741 of 785 Y carry DOIs, 547 await full-text extraction. Path B is not in the analyzed effects; extraction is scheduled for revision and could lift</w:t>
      </w:r>
      <w:r>
        <w:t xml:space="preserve"> </w:t>
      </w:r>
      <w:r>
        <w:rPr>
          <w:iCs/>
          <w:i/>
        </w:rPr>
        <w:t xml:space="preserve">k</w:t>
      </w:r>
      <w:r>
        <w:t xml:space="preserve"> </w:t>
      </w:r>
      <w:r>
        <w:t xml:space="preserve">to ≈ 600–700.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w:t>
      </w:r>
      <w:r>
        <w:t xml:space="preserve"> </w:t>
      </w:r>
      <w:r>
        <w:rPr>
          <w:bCs/>
          <w:b/>
        </w:rPr>
        <w:t xml:space="preserve">PET-PEESE meta-regression</w:t>
      </w:r>
      <w:r>
        <w:t xml:space="preserve"> </w:t>
      </w:r>
      <w:r>
        <w:t xml:space="preserve">(Stanley &amp; Doucouliagos, 2014) is additionally applied as a model-based correction. Test specifications are detailed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CDCM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71"/>
    <w:bookmarkStart w:id="72"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Constraints on inference.</w:t>
      </w:r>
      <w:r>
        <w:t xml:space="preserve"> </w:t>
      </w:r>
      <w:r>
        <w:t xml:space="preserve">Five limitations bound these conclusions. (1) The directional gradient and cDAI/DPL nulls may reflect insufficient</w:t>
      </w:r>
      <w:r>
        <w:t xml:space="preserve"> </w:t>
      </w:r>
      <w:r>
        <w:rPr>
          <w:iCs/>
          <w:i/>
        </w:rPr>
        <w:t xml:space="preserve">k</w:t>
      </w:r>
      <w:r>
        <w:t xml:space="preserve"> </w:t>
      </w:r>
      <w:r>
        <w:t xml:space="preserve">in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 formal Frontier/SIDS-targeted WoS/Scopus search is required before the gradient null can be treated as definitive. (2) The Frontier-cell anomaly (</w:t>
      </w:r>
      <w:r>
        <w:rPr>
          <w:iCs/>
          <w:i/>
        </w:rPr>
        <w:t xml:space="preserve">r̄</w:t>
      </w:r>
      <w:r>
        <w:t xml:space="preserve"> </w:t>
      </w:r>
      <w:r>
        <w:t xml:space="preserve">= 0.349 on</w:t>
      </w:r>
      <w:r>
        <w:t xml:space="preserve"> </w:t>
      </w:r>
      <w:r>
        <w:rPr>
          <w:iCs/>
          <w:i/>
        </w:rPr>
        <w:t xml:space="preserve">K</w:t>
      </w:r>
      <w:r>
        <w:t xml:space="preserve"> </w:t>
      </w:r>
      <w:r>
        <w:t xml:space="preserve">= 3, with one Iranian outlier) yields an unreliable estimate. (3) cDAI is assigned at the study level via country-year WB DAI / ITU DDI scores, not derived from firm-level digital adoption; vintage mismatch may attenuate the moderation. (4) Search restricted to English-language publications under-represents Chinese, Japanese, Korean, and Southeast Asian work. (5) Single-coder extraction and moderator coding (by the first author) precluded formal inter-coder reliability; coding quality is supported by pilot calibration and double-entry verification (Section 3.3.2). A dual-coded reliability check is a priority for the planned formal-search expansion.</w:t>
      </w:r>
    </w:p>
    <w:p>
      <w:pPr>
        <w:pStyle w:val="BodyText"/>
      </w:pPr>
      <w:r>
        <w:rPr>
          <w:bCs/>
          <w:b/>
        </w:rPr>
        <w:t xml:space="preserve">Future research.</w:t>
      </w:r>
      <w:r>
        <w:t xml:space="preserve"> </w:t>
      </w:r>
      <w:r>
        <w:t xml:space="preserve">Three directions follow from the null moderator findings. First, a formal WoS/Scopus systematic search targeting Frontier and SIDS economies would lift Frontier</w:t>
      </w:r>
      <w:r>
        <w:t xml:space="preserve"> </w:t>
      </w:r>
      <w:r>
        <w:rPr>
          <w:iCs/>
          <w:i/>
        </w:rPr>
        <w:t xml:space="preserve">k</w:t>
      </w:r>
      <w:r>
        <w:t xml:space="preserve"> </w:t>
      </w:r>
      <w:r>
        <w:t xml:space="preserve">from 3 to a plausible 20–40, enabling a meaningful between-regime test. Second, a pre-registered replication of the ICRV/cDAI/DPL hypotheses with explicit per-cell power analysis on a</w:t>
      </w:r>
      <w:r>
        <w:t xml:space="preserve"> </w:t>
      </w:r>
      <w:r>
        <w:rPr>
          <w:iCs/>
          <w:i/>
        </w:rPr>
        <w:t xml:space="preserve">k</w:t>
      </w:r>
      <w:r>
        <w:t xml:space="preserve"> </w:t>
      </w:r>
      <w:r>
        <w:t xml:space="preserve">≥ 400 corpus would deliver a definitive test of whether these moderators are detectable at scale. Third, the publication-bias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audit of unpublished I-P results, surveys of researchers, grey literature, and dissertations, to bound the true population effect more precisely than trim-and-fill alone.</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84"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7,940 words. Submission-build total (body + references + 3 in-paper tables × 280 + 6 figures × 280):</w:t>
      </w:r>
      <w:r>
        <w:rPr>
          <w:iCs/>
          <w:i/>
        </w:rPr>
        <w:t xml:space="preserve"> </w:t>
      </w:r>
      <m:oMath>
        <m:r>
          <m:rPr>
            <m:sty m:val="p"/>
          </m:rPr>
          <m:t>≈</m:t>
        </m:r>
      </m:oMath>
      <w:r>
        <w:rPr>
          <w:iCs/>
          <w:i/>
        </w:rPr>
        <w:t xml:space="preserve"> </w:t>
      </w:r>
      <w:r>
        <w:rPr>
          <w:iCs/>
          <w:i/>
        </w:rPr>
        <w:t xml:space="preserve">11,580 word-equivalents, within MIR's</w:t>
      </w:r>
      <w:r>
        <w:rPr>
          <w:iCs/>
          <w:i/>
        </w:rPr>
        <w:t xml:space="preserve"> </w:t>
      </w:r>
      <m:oMath>
        <m:r>
          <m:rPr>
            <m:sty m:val="p"/>
          </m:rPr>
          <m:t>≈</m:t>
        </m:r>
      </m:oMath>
      <w:r>
        <w:rPr>
          <w:iCs/>
          <w:i/>
        </w:rPr>
        <w:t xml:space="preserve"> </w:t>
      </w:r>
      <w:r>
        <w:rPr>
          <w:iCs/>
          <w:i/>
        </w:rPr>
        <w:t xml:space="preserve">12,000-word envelope.</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2026-05-30T14:43:47Z</dcterms:created>
  <dcterms:modified xsi:type="dcterms:W3CDTF">2026-05-30T14:43:47Z</dcterms:modified>
</cp:coreProperties>
</file>

<file path=docProps/custom.xml><?xml version="1.0" encoding="utf-8"?>
<Properties xmlns="http://schemas.openxmlformats.org/officeDocument/2006/custom-properties" xmlns:vt="http://schemas.openxmlformats.org/officeDocument/2006/docPropsVTypes"/>
</file>