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Q4 2026</w:t>
      </w:r>
    </w:p>
    <w:p>
      <w:pPr>
        <w:pStyle w:val="BodyText"/>
      </w:pPr>
      <w:r>
        <w:t xml:space="preserve">The Editors-in-Chief</w:t>
      </w:r>
      <w:r>
        <w:t xml:space="preserve"> </w:t>
      </w:r>
      <w:r>
        <w:rPr>
          <w:iCs/>
          <w:i/>
        </w:rPr>
        <w:t xml:space="preserve">Management Review Quarterly</w:t>
      </w:r>
      <w:r>
        <w:t xml:space="preserve"> </w:t>
      </w:r>
      <w:r>
        <w:t xml:space="preserve">Springer</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Editors-in-Chief,</w:t>
      </w:r>
    </w:p>
    <w:p>
      <w:pPr>
        <w:pStyle w:val="BodyText"/>
      </w:pPr>
      <w:r>
        <w:t xml:space="preserve">We are pleased to submit the above manuscript for consideration in</w:t>
      </w:r>
      <w:r>
        <w:t xml:space="preserve"> </w:t>
      </w:r>
      <w:r>
        <w:rPr>
          <w:iCs/>
          <w:i/>
        </w:rPr>
        <w:t xml:space="preserve">Management Review Quarterly</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It tests three theoretically grounded, previously untested moderators — country-level digital adoption (cDAI), institutional context regime (ICRV), and Digital Paradox Lifecycle (DPL) phase — and, in doing so, surfaces a field-level finding about the integrity of the accumulated I-P evidence base.</w:t>
      </w:r>
    </w:p>
    <w:p>
      <w:pPr>
        <w:pStyle w:val="BodyText"/>
      </w:pPr>
      <w:r>
        <w:rPr>
          <w:bCs/>
          <w:b/>
        </w:rPr>
        <w:t xml:space="preserve">Relevance to Management Review Quarterly.</w:t>
      </w:r>
      <w:r>
        <w:t xml:space="preserve"> </w:t>
      </w:r>
      <w:r>
        <w:t xml:space="preserve">MRQ's mandate is rigorous systematic reviews and meta-analyses that consolidate and critically appraise a body of evidence. The I-P relationship is the most meta-analyzed question in international business, yet pooled positive effects coexist with substantial heterogeneity. Our contribution is methodological and corrective rather than confirmatory: we apply a three-level model with full PRISMA 2020 reporting and OSF pre-registration, and we quantify how much of the literature's apparent signal survives a formal publication-bias correction.</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 evidence that effect-size dispersion is driven more by within-paper design variation than by between-country contextual differences, which reframes how the field should interpret I-P heterogeneity.</w:t>
      </w:r>
    </w:p>
    <w:p>
      <w:pPr>
        <w:pStyle w:val="BodyText"/>
      </w:pPr>
      <w:r>
        <w:t xml:space="preserve">Second, this is the first pre-registered meta-analytic test of ICRV institutional regime, national digital adoption (cDAI), and Digital Paradox Lifecycle phase as moderators of I-P.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reflects single- versus multi-country study composition rather than a monotone institutional gradient,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operate.</w:t>
      </w:r>
    </w:p>
    <w:p>
      <w:pPr>
        <w:pStyle w:val="BodyText"/>
      </w:pPr>
      <w:r>
        <w:t xml:space="preserve">Third — and most consequentially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(Begg's</w:t>
      </w:r>
      <w:r>
        <w:t xml:space="preserve"> </w:t>
      </w:r>
      <w:r>
        <w:rPr>
          <w:iCs/>
          <w:i/>
        </w:rPr>
        <w:t xml:space="preserve">p</w:t>
      </w:r>
      <w:r>
        <w:t xml:space="preserve"> </w:t>
      </w:r>
      <w:r>
        <w:t xml:space="preserve">&lt; .001; Egger's</w:t>
      </w:r>
      <w:r>
        <w:t xml:space="preserve"> </w:t>
      </w:r>
      <w:r>
        <w:rPr>
          <w:iCs/>
          <w:i/>
        </w:rPr>
        <w:t xml:space="preserve">p</w:t>
      </w:r>
      <w:r>
        <w:t xml:space="preserve"> </w:t>
      </w:r>
      <w:r>
        <w:t xml:space="preserve">= .057). Read as a corrective contribution, this indicates that four decades of I-P evidence may be materially inflated by publication selection, and it suggests that the field's unresolved heterogeneity reflects selection processes more than the contextual moderators commonly invoked.</w:t>
      </w:r>
    </w:p>
    <w:p>
      <w:pPr>
        <w:pStyle w:val="BodyText"/>
      </w:pPr>
      <w:r>
        <w:rPr>
          <w:bCs/>
          <w:b/>
        </w:rPr>
        <w:t xml:space="preserve">Originality and conflicts of interest.</w:t>
      </w:r>
      <w:r>
        <w:t xml:space="preserve"> </w:t>
      </w:r>
      <w:r>
        <w:t xml:space="preserve">This manuscript is original, has not been published previously, and is not under consideration elsewhere. Both authors approved the submission. The authors declare no conflict of interest, and the research received no specific grant from any funding agency in the public, commercial, or not-for-profit sectors. Pre-registration, data, and replication code (R/metafor, with an independent Python cross-check) are openly available on OSF (</w:t>
      </w:r>
      <w:hyperlink r:id="rId20">
        <w:r>
          <w:rPr>
            <w:rStyle w:val="Hyperlink"/>
          </w:rPr>
          <w:t xml:space="preserve">https://osf.io/z37kn</w:t>
        </w:r>
      </w:hyperlink>
      <w:r>
        <w:t xml:space="preserve">).</w:t>
      </w:r>
    </w:p>
    <w:p>
      <w:pPr>
        <w:pStyle w:val="BodyText"/>
      </w:pPr>
      <w:r>
        <w:rPr>
          <w:bCs/>
          <w:b/>
        </w:rPr>
        <w:t xml:space="preserve">Manuscript classification.</w:t>
      </w:r>
    </w:p>
    <w:p>
      <w:pPr>
        <w:numPr>
          <w:ilvl w:val="0"/>
          <w:numId w:val="1001"/>
        </w:numPr>
        <w:pStyle w:val="Compact"/>
      </w:pPr>
      <w:r>
        <w:t xml:space="preserve">Paper type: Research article (systematic meta-analysis)</w:t>
      </w:r>
    </w:p>
    <w:p>
      <w:pPr>
        <w:numPr>
          <w:ilvl w:val="0"/>
          <w:numId w:val="1001"/>
        </w:numPr>
        <w:pStyle w:val="Compact"/>
      </w:pPr>
      <w:r>
        <w:t xml:space="preserve">Length: approximately 14,900 words including appendices</w:t>
      </w:r>
    </w:p>
    <w:p>
      <w:pPr>
        <w:numPr>
          <w:ilvl w:val="0"/>
          <w:numId w:val="1001"/>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1"/>
        </w:numPr>
        <w:pStyle w:val="Compact"/>
      </w:pPr>
      <w:r>
        <w:t xml:space="preserve">Keywords: internationalization–performance; meta-analysis; three-level model; digital adoption; institutional context; ICRV; Digital Paradox Lifecycle; global</w:t>
      </w:r>
    </w:p>
    <w:p>
      <w:pPr>
        <w:pStyle w:val="FirstParagraph"/>
      </w:pPr>
      <w:r>
        <w:t xml:space="preserve">We hope the manuscript will be of interest to MRQ's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2026-05-30T14:43:47Z</dcterms:created>
  <dcterms:modified xsi:type="dcterms:W3CDTF">2026-05-30T14:43:47Z</dcterms:modified>
</cp:coreProperties>
</file>

<file path=docProps/custom.xml><?xml version="1.0" encoding="utf-8"?>
<Properties xmlns="http://schemas.openxmlformats.org/officeDocument/2006/custom-properties" xmlns:vt="http://schemas.openxmlformats.org/officeDocument/2006/docPropsVTypes"/>
</file>