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approaches near-universal levels, c22b functions as an organisational hygiene marker rather than a differentiating signal.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3913638"/>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334000" cy="39136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near-universal levels.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Tier-1 proxy obsolescence as website ownership diffuses to near-universal levels.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2026-06-10T01:22:12Z</dcterms:created>
  <dcterms:modified xsi:type="dcterms:W3CDTF">2026-06-10T01:22:12Z</dcterms:modified>
</cp:coreProperties>
</file>

<file path=docProps/custom.xml><?xml version="1.0" encoding="utf-8"?>
<Properties xmlns="http://schemas.openxmlformats.org/officeDocument/2006/custom-properties" xmlns:vt="http://schemas.openxmlformats.org/officeDocument/2006/docPropsVTypes"/>
</file>