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3c653b0d4a88dba744c54e64d24f61694137e9"/>
    <w:p>
      <w:pPr>
        <w:pStyle w:val="Heading1"/>
      </w:pPr>
      <w:r>
        <w:t xml:space="preserve">Cover Letter — Journal of Asia Business Studies</w:t>
      </w:r>
    </w:p>
    <w:p>
      <w:pPr>
        <w:pStyle w:val="FirstParagraph"/>
      </w:pPr>
      <w:r>
        <w:t xml:space="preserve">The Editor-in-Chief</w:t>
      </w:r>
      <w:r>
        <w:t xml:space="preserve"> </w:t>
      </w:r>
      <w:r>
        <w:t xml:space="preserve">Journal of Asia Business Studies</w:t>
      </w:r>
      <w:r>
        <w:t xml:space="preserve"> </w:t>
      </w:r>
      <w:r>
        <w:t xml:space="preserve">Emerald Publishing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"Revisiting the Internationalisation–Performance Relationship in an Emerging Market: The Roles of Technological Capability and Foundational Digital Adoption,"</w:t>
      </w:r>
      <w:r>
        <w:t xml:space="preserve"> </w:t>
      </w:r>
      <w:r>
        <w:t xml:space="preserve">for consideration in the</w:t>
      </w:r>
      <w:r>
        <w:t xml:space="preserve"> </w:t>
      </w:r>
      <w:r>
        <w:rPr>
          <w:iCs/>
          <w:i/>
        </w:rPr>
        <w:t xml:space="preserve">Journal of Asia Business Studies (JABS)</w:t>
      </w:r>
      <w:r>
        <w:t xml:space="preserve">.</w:t>
      </w:r>
    </w:p>
    <w:p>
      <w:pPr>
        <w:pStyle w:val="BodyText"/>
      </w:pPr>
      <w:r>
        <w:t xml:space="preserve">We revisit the internationalisation–performance (I–P) relationship in Vietnam, an emerging Asian economy, using firm-level World Bank Enterprise Survey data across three waves (2009, 2015, 2023; N = 2,958). We show that the inverted-U between export intensity and labour productivity is driven by a participation-margin step rather than within-exporter saturation, that its turning point is structurally durable across 14 years of institutional change (a narrow 39–46% FSTS band), and that technological capability and foundational (Tier-1) digital adoption behave differently: technological capability is identification-robust, whereas website-based digital presence follows a proxy-obsolescence trajectory across the three waves.</w:t>
      </w:r>
    </w:p>
    <w:p>
      <w:pPr>
        <w:pStyle w:val="BodyText"/>
      </w:pPr>
      <w:r>
        <w:t xml:space="preserve">This study fits the scope of JABS, which advances theory and evidence on business in Asia and emerging-Asian economies. Vietnam offers an analytically valuable Asian setting in which institutional transition, uneven capability accumulation, and rapidly changing digital infrastructure unfold within a single economy, allowing the I–P relationship to be tested while holding the Asian institutional context constant. We believe the findings on threshold durability and stage-contingent digital value will be of clear interest to JABS readers working on internationalisation, firm capability, and digital transformation in Asia.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2026-06-10T01:19:50Z</dcterms:created>
  <dcterms:modified xsi:type="dcterms:W3CDTF">2026-06-10T01:19:50Z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