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và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Phân tích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pPr>
        <w:pStyle w:val="BodyText"/>
      </w:pPr>
      <w:r>
        <w:rPr>
          <w:bCs/>
          <w:b/>
        </w:rPr>
        <w:t xml:space="preserve">Phân loại JEL:</w:t>
      </w:r>
      <w:r>
        <w:t xml:space="preserve"> </w:t>
      </w:r>
      <w:r>
        <w:t xml:space="preserve">F23; O53; L25; D22; O19.</w:t>
      </w:r>
    </w:p>
    <w:p>
      <w:pPr>
        <w:pStyle w:val="BodyText"/>
      </w:pPr>
      <w:r>
        <w:rPr>
          <w:bCs/>
          <w:b/>
        </w:rPr>
        <w:t xml:space="preserve">Loại bài:</w:t>
      </w:r>
      <w:r>
        <w:t xml:space="preserve"> </w:t>
      </w:r>
      <w:r>
        <w:t xml:space="preserve">Chuyên đề tiến sĩ.</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dẫn đến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gồm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và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tức</w:t>
      </w:r>
      <w:r>
        <w:t xml:space="preserve"> </w:t>
      </w:r>
      <w:r>
        <w:rPr>
          <w:bCs/>
          <w:b/>
        </w:rPr>
        <w:t xml:space="preserve">Tier-1 Sự hiện diện số cơ bản</w:t>
      </w:r>
      <w:r>
        <w:t xml:space="preserve">. Spec 2 (BREADY 2018+ trở lên): tổng hợp chuẩn hóa z website + cường độ thanh toán điện tử (k33/k38), tức</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Cụ thể, Ấn Độ FSTS sụt 7,7%, sau đó 2,7% trong đợt 2025.</w:t>
      </w:r>
    </w:p>
    <w:p>
      <w:pPr>
        <w:pStyle w:val="BodyText"/>
      </w:pPr>
      <w:r>
        <w:rPr>
          <w:bCs/>
          <w:b/>
        </w:rPr>
        <w:t xml:space="preserve">Nguyên tắc minh bạch dữ liệu</w:t>
      </w:r>
      <w:r>
        <w:t xml:space="preserve"> </w:t>
      </w:r>
      <w:r>
        <w:t xml:space="preserve">(Aguinis et al., 2019): chuyên đề trình bày rõ tám yếu tố.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gồm doanh thu, lợi nhuận, và tỷ suất sinh lợi; và (b)</w:t>
      </w:r>
      <w:r>
        <w:t xml:space="preserve"> </w:t>
      </w:r>
      <w:r>
        <w:rPr>
          <w:bCs/>
          <w:b/>
        </w:rPr>
        <w:t xml:space="preserve">hiệu quả hoạt động rộng hơn</w:t>
      </w:r>
      <w:r>
        <w:t xml:space="preserve">, gồm thị phần, đổi mới, năng suất, và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tức VRIN). Trong khi đó,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(đo bằng giá trị gia tăng trên lao động hoặc doanh thu trên lao động) là thước đo phổ biến nhất trong các nghiên cứu WBES. Ba lý do chính: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dẫn đến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dẫn đến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dẫn đến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dẫn đến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có hai phần.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dẫn đến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nhưng</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nhưng</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nhưng</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dẫn đến U ngược, điểm uốn ≈ 39–46% FSTS; Singapore dẫn đến tuyến tính dương + bậc hai nhẹ, điểm uốn ≈ 82% FSTS.</w:t>
      </w:r>
    </w:p>
    <w:p>
      <w:pPr>
        <w:pStyle w:val="BodyText"/>
      </w:pPr>
      <w:r>
        <w:rPr>
          <w:bCs/>
          <w:b/>
        </w:rPr>
        <w:t xml:space="preserve">(b) Cơ chế DAI</w:t>
      </w:r>
      <w:r>
        <w:t xml:space="preserve">: Việt Nam (Tier 1 = website only) dẫn đến</w:t>
      </w:r>
      <w:r>
        <w:t xml:space="preserve"> </w:t>
      </w:r>
      <w:r>
        <w:rPr>
          <w:bCs/>
          <w:b/>
        </w:rPr>
        <w:t xml:space="preserve">phụ thuộc giai đoạn</w:t>
      </w:r>
      <w:r>
        <w:t xml:space="preserve">: tương tác DAI×FSTS âm ở FSTS cao, nghĩa là Tier 1 trở thành điểm nghẽn. Singapore (Tier 1+2) dẫn đến</w:t>
      </w:r>
      <w:r>
        <w:t xml:space="preserve"> </w:t>
      </w:r>
      <w:r>
        <w:rPr>
          <w:bCs/>
          <w:b/>
        </w:rPr>
        <w:t xml:space="preserve">mở rộng có điều kiện</w:t>
      </w:r>
      <w:r>
        <w:t xml:space="preserve">: tương tác DAI×FSTS² dương mạnh (</w:t>
      </w:r>
      <m:oMath>
        <m:r>
          <m:t>β</m:t>
        </m:r>
        <m:r>
          <m:rPr>
            <m:sty m:val="p"/>
          </m:rPr>
          <m:t>=</m:t>
        </m:r>
        <m:r>
          <m:t>3.119</m:t>
        </m:r>
      </m:oMath>
      <w:r>
        <w:t xml:space="preserve">, p=0,005), tức Tier 1+2 là đòn bẩy.</w:t>
      </w:r>
    </w:p>
    <w:p>
      <w:pPr>
        <w:pStyle w:val="BodyText"/>
      </w:pPr>
      <w:r>
        <w:rPr>
          <w:bCs/>
          <w:b/>
        </w:rPr>
        <w:t xml:space="preserve">(c) Vai trò TCI</w:t>
      </w:r>
      <w:r>
        <w:t xml:space="preserve">: Việt Nam thể hiện</w:t>
      </w:r>
      <w:r>
        <w:t xml:space="preserve"> </w:t>
      </w:r>
      <w:r>
        <w:rPr>
          <w:iCs/>
          <w:i/>
        </w:rPr>
        <w:t xml:space="preserve">lợi thế khan hiếm</w:t>
      </w:r>
      <w:r>
        <w:t xml:space="preserve"> </w:t>
      </w:r>
      <w:r>
        <w:t xml:space="preserve">(TCI z biến công cụ</w:t>
      </w:r>
      <w:r>
        <w:t xml:space="preserve"> </w:t>
      </w:r>
      <m:oMath>
        <m:r>
          <m:t>β</m:t>
        </m:r>
        <m:r>
          <m:rPr>
            <m:sty m:val="p"/>
          </m:rPr>
          <m:t>=</m:t>
        </m:r>
        <m:r>
          <m:t>1.639</m:t>
        </m:r>
      </m:oMath>
      <w:r>
        <w:t xml:space="preserve">, p&lt;0,001, ước lượng 2SLS vững). Singapore thể hiện</w:t>
      </w:r>
      <w:r>
        <w:t xml:space="preserve"> </w:t>
      </w:r>
      <w:r>
        <w:rPr>
          <w:iCs/>
          <w:i/>
        </w:rPr>
        <w:t xml:space="preserve">yếu tố vệ sinh</w:t>
      </w:r>
      <w:r>
        <w:t xml:space="preserve"> </w:t>
      </w:r>
      <w:r>
        <w:t xml:space="preserve">nâng sàn năng suất nhưng không điều tiết đường cong quốc tế hóa và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dẫn đến hiệu quả. Tuy nhiên,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Advanced tài nguyên dẫn dắt</w:t>
      </w:r>
      <w:r>
        <w:t xml:space="preserve">: WGI Rule of Law trung bình (+0,00 dẫn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p>
      <w:pPr>
        <w:pStyle w:val="BodyText"/>
      </w:pPr>
      <w:r>
        <w:rPr>
          <w:bCs/>
          <w:b/>
        </w:rPr>
        <w:t xml:space="preserve">Nhóm III, Trung bình cao (Upper-middle)</w:t>
      </w:r>
      <w:r>
        <w:t xml:space="preserve">: WGI Rule of Law 0,00 dẫn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Đang nổi (Emerging)</w:t>
      </w:r>
      <w:r>
        <w:t xml:space="preserve">: WGI Rule of Law -0,50 dẫn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được tóm tắt như sau.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dẫn đến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dẫn đến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dẫn đến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e94a7f38103305616bcb3f527e5b632bf794b9f"/>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như sau.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như sau.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3e0c2f14849a2ac59a836b8f2f5f68dc060f060"/>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như sau.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8e359102c2820c99d0186213e314ed14f075d3d"/>
    <w:p>
      <w:pPr>
        <w:pStyle w:val="Heading4"/>
      </w:pPr>
      <w:r>
        <w:t xml:space="preserve">2.3.7.3 Việt Nam (n=3.077, 3 đợt khảo sát), cập nhật ADB Vietnam Outlook 2026</w:t>
      </w:r>
    </w:p>
    <w:p>
      <w:pPr>
        <w:pStyle w:val="FirstParagraph"/>
      </w:pPr>
      <w:r>
        <w:t xml:space="preserve">FSTS 23,2%, sau đó 17,9% dẫn đến 16,1% (suy giảm theo thời gian); doanh nghiệp xuất khẩu 37,1%, sau đó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chính.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sau đó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6"/>
    <w:bookmarkStart w:id="67" w:name="Xc7d3f6b1e6ee4affb591ecc35e1aebe189cfa40"/>
    <w:p>
      <w:pPr>
        <w:pStyle w:val="Heading4"/>
      </w:pPr>
      <w:r>
        <w:t xml:space="preserve">2.3.7.5 Tổng hợp Emerging Asia (n=42.278), trường hợp Ấn Độ</w:t>
      </w:r>
    </w:p>
    <w:p>
      <w:pPr>
        <w:pStyle w:val="FirstParagraph"/>
      </w:pPr>
      <w:r>
        <w:t xml:space="preserve">FSTS 7,6%; FDI ≥10%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7"/>
    <w:bookmarkStart w:id="68" w:name="X0d446cb0e3ef6a6395393728a3b029a1d617eea"/>
    <w:p>
      <w:pPr>
        <w:pStyle w:val="Heading4"/>
      </w:pPr>
      <w:r>
        <w:t xml:space="preserve">2.3.7.6 Mông Cổ, từ lời nguyền tài nguyên đến khoáng sản thiết yếu (n=1.905)</w:t>
      </w:r>
    </w:p>
    <w:p>
      <w:pPr>
        <w:pStyle w:val="FirstParagraph"/>
      </w:pPr>
      <w:r>
        <w:t xml:space="preserve">FSTS đình trệ 4–6%; FDI ≥10% giảm</w:t>
      </w:r>
      <w:r>
        <w:t xml:space="preserve"> </w:t>
      </w:r>
      <w:r>
        <w:rPr>
          <w:bCs/>
          <w:b/>
        </w:rPr>
        <w:t xml:space="preserve">7,2%, sau đó 3,2%</w:t>
      </w:r>
      <w:r>
        <w:t xml:space="preserve">; website tăng 39%, sau đó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75220166c82aebbb501943f77fee7b5d950597e"/>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như sau. (1) FDI dương mạnh ở SIDS (+0,222), tức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thể hiện Nghịch lý bão hòa số. (6) Đảo dấu cross-regime cho thấy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chính.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tức DAI khuếch đại quan hệ quốc tế hóa và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dẫn đến Upper-middle 1,29 ≈ Emerging 1,24 ≈ SIDS 1,32 dẫn đến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 ≠ dân số lớn (IND+LKA+JOR, FSTS 7,2%) ≠ 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≥10%</w:t>
      </w:r>
      <w:r>
        <w:t xml:space="preserve">, dạng chữ U với cực tiểu Emerging (4,7%): Advanced 11,1% dẫn đến Emerging 4,7% dẫn đến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và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sau đó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dẫn đến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dẫn đến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dẫn đến Thương mại xã hội dẫn đến Xuyên biên giới Shopee/Amazon dẫn đến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dẫn đến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dẫn đến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2026-05-23T04:41:31Z</dcterms:created>
  <dcterms:modified xsi:type="dcterms:W3CDTF">2026-05-23T04:41:31Z</dcterms:modified>
</cp:coreProperties>
</file>

<file path=docProps/custom.xml><?xml version="1.0" encoding="utf-8"?>
<Properties xmlns="http://schemas.openxmlformats.org/officeDocument/2006/custom-properties" xmlns:vt="http://schemas.openxmlformats.org/officeDocument/2006/docPropsVTypes"/>
</file>