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 "Xây dựng mô hình nghiên cứu về ảnh hưởng của quốc tế hóa đến hiệu quả hoạt động kinh doanh của các doanh nghiệp ở Châu Á" 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gồm Uppsala Model (Johanson &amp; Vahlne, 1977, 2009), Resource-Based View (Barney, 1991; Wernerfelt, 1984), Institutional Theory (North, 1990; Khanna &amp; Palepu, 2010; Peng, 2003), và Upper Echelons Theory (Hambrick &amp; Mason, 1984; Hambrick, 2007). Khung này kết hợp với Foundational Digital Adoption Framework (Banalieva &amp; Dhanaraj, 2019; Verhoef et al., 2021; Stallkamp &amp; Schotter, 2021) làm nền tảng lý thuyết. Lược khảo năm dạng hàm quan hệ quốc tế hóa,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như sau. H1 phi tuyến dạng chữ U ngược hoặc S-curve. H2 Technological Capability Index (TCI) điều tiết tích cực. H3a–H3b Digital Adoption Index (DAI) điều tiết phụ thuộc chế độ thể chế: có điều kiện ở Emerging/Frontier (H3a, dương trong OLS nhưng phụ thuộc bối cảnh và có thể null trong kiểm định nhân quả) và có điều kiện/null ở Advanced (H3b), phân biệt với TCI. H4a–H4c đặc điểm nhà quản trị điều tiết (kinh nghiệm, học vấn, giới tính, tách biệt dấu kỳ vọng). H5 thể chế nội địa điều tiết theo gradient ICRV sáu nhóm. H6 tính không đồng nhất theo thời gian. Tám mô hình thực nghiệm M0–M7 được đặc tả, từ baseline tuyến tính đến mô hình điều tiết ba chiều cấp luận án. Chiến lược nhận dạng đa tầng và kế hoạch kiểm định độ vững toàn diện được thiết kế cho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gồm P3 Việt Nam (JABS, under review), P4 Singapore (MIR, under review), và P5 Trung Quốc (IJOEM, under review). Các bản thảo này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Chuyên đề tiến sĩ.</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(P3 IV:</w:t>
      </w:r>
      <w:r>
        <w:t xml:space="preserve"> </w:t>
      </w:r>
      <m:oMath>
        <m:r>
          <m:t>β</m:t>
        </m:r>
        <m:r>
          <m:rPr>
            <m:sty m:val="p"/>
          </m:rPr>
          <m:t>=</m:t>
        </m:r>
        <m:r>
          <m:t>0.018</m:t>
        </m:r>
      </m:oMath>
      <w:r>
        <w:t xml:space="preserve">, p = .942), conditional or null for Advanced (H3b), and distinguishable from TCI; H4a–H4c top manager characteristics moderating (experience, education, and gender with distinct directional expectations); H5 home-country institutions moderating along the ICRV six-regime gradient; H6 temporal heterogeneity.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empirical papers, P3 Vietnam (JABS, under review), P4 Singapore (MIR, under review), P5 China (IJOEM, under review),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văn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Hạn chế nghiên cứu</w:t>
      </w:r>
      <w:r>
        <w:t xml:space="preserve"> </w:t>
      </w:r>
      <w:r>
        <w:t xml:space="preserve">2.4.3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 Chỉ số áp dụng số</w:t>
            </w:r>
          </w:p>
        </w:tc>
      </w:tr>
      <w:tr>
        <w:tc>
          <w:tcPr/>
          <w:p>
            <w:pPr>
              <w:pStyle w:val="Compact"/>
              <w:jc w:val="left"/>
            </w:pPr>
            <w:r>
              <w:t xml:space="preserve">FDI</w:t>
            </w:r>
          </w:p>
        </w:tc>
        <w:tc>
          <w:tcPr/>
          <w:p>
            <w:pPr>
              <w:pStyle w:val="Compact"/>
              <w:jc w:val="left"/>
            </w:pPr>
            <w:r>
              <w:t xml:space="preserve">Foreign Direct Investment — Đầu tư trực tiếp nước ngoài</w:t>
            </w:r>
          </w:p>
        </w:tc>
      </w:tr>
      <w:tr>
        <w:tc>
          <w:tcPr/>
          <w:p>
            <w:pPr>
              <w:pStyle w:val="Compact"/>
              <w:jc w:val="left"/>
            </w:pPr>
            <w:r>
              <w:t xml:space="preserve">FE</w:t>
            </w:r>
          </w:p>
        </w:tc>
        <w:tc>
          <w:tcPr/>
          <w:p>
            <w:pPr>
              <w:pStyle w:val="Compact"/>
              <w:jc w:val="left"/>
            </w:pPr>
            <w:r>
              <w:t xml:space="preserve">Fixed Effects — Hiệu ứng cố định</w:t>
            </w:r>
          </w:p>
        </w:tc>
      </w:tr>
      <w:tr>
        <w:tc>
          <w:tcPr/>
          <w:p>
            <w:pPr>
              <w:pStyle w:val="Compact"/>
              <w:jc w:val="left"/>
            </w:pPr>
            <w:r>
              <w:t xml:space="preserve">FSTS</w:t>
            </w:r>
          </w:p>
        </w:tc>
        <w:tc>
          <w:tcPr/>
          <w:p>
            <w:pPr>
              <w:pStyle w:val="Compact"/>
              <w:jc w:val="left"/>
            </w:pPr>
            <w:r>
              <w:t xml:space="preserve">Foreign Sales to Total Sales ratio —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 → Performance — Quan hệ quốc tế hóa — hiệu quả</w:t>
            </w:r>
          </w:p>
        </w:tc>
      </w:tr>
      <w:tr>
        <w:tc>
          <w:tcPr/>
          <w:p>
            <w:pPr>
              <w:pStyle w:val="Compact"/>
              <w:jc w:val="left"/>
            </w:pPr>
            <w:r>
              <w:t xml:space="preserve">IB</w:t>
            </w:r>
          </w:p>
        </w:tc>
        <w:tc>
          <w:tcPr/>
          <w:p>
            <w:pPr>
              <w:pStyle w:val="Compact"/>
              <w:jc w:val="left"/>
            </w:pPr>
            <w:r>
              <w:t xml:space="preserve">International Business — Kinh doanh quốc tế</w:t>
            </w:r>
          </w:p>
        </w:tc>
      </w:tr>
      <w:tr>
        <w:tc>
          <w:tcPr/>
          <w:p>
            <w:pPr>
              <w:pStyle w:val="Compact"/>
              <w:jc w:val="left"/>
            </w:pPr>
            <w:r>
              <w:t xml:space="preserve">ICRV</w:t>
            </w:r>
          </w:p>
        </w:tc>
        <w:tc>
          <w:tcPr/>
          <w:p>
            <w:pPr>
              <w:pStyle w:val="Compact"/>
              <w:jc w:val="left"/>
            </w:pPr>
            <w:r>
              <w:t xml:space="preserve">Institutional Context Regime Variation —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 Nghiên cứu và phát triển</w:t>
            </w:r>
          </w:p>
        </w:tc>
      </w:tr>
      <w:tr>
        <w:tc>
          <w:tcPr/>
          <w:p>
            <w:pPr>
              <w:pStyle w:val="Compact"/>
              <w:jc w:val="left"/>
            </w:pPr>
            <w:r>
              <w:t xml:space="preserve">RBV</w:t>
            </w:r>
          </w:p>
        </w:tc>
        <w:tc>
          <w:tcPr/>
          <w:p>
            <w:pPr>
              <w:pStyle w:val="Compact"/>
              <w:jc w:val="left"/>
            </w:pPr>
            <w:r>
              <w:t xml:space="preserve">Resource-Based View —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 Lợi nhuận trên tổng tài sản</w:t>
            </w:r>
          </w:p>
        </w:tc>
      </w:tr>
      <w:tr>
        <w:tc>
          <w:tcPr/>
          <w:p>
            <w:pPr>
              <w:pStyle w:val="Compact"/>
              <w:jc w:val="left"/>
            </w:pPr>
            <w:r>
              <w:t xml:space="preserve">ROS</w:t>
            </w:r>
          </w:p>
        </w:tc>
        <w:tc>
          <w:tcPr/>
          <w:p>
            <w:pPr>
              <w:pStyle w:val="Compact"/>
              <w:jc w:val="left"/>
            </w:pPr>
            <w:r>
              <w:t xml:space="preserve">Return on Sales — Lợi nhuận trên doanh thu</w:t>
            </w:r>
          </w:p>
        </w:tc>
      </w:tr>
      <w:tr>
        <w:tc>
          <w:tcPr/>
          <w:p>
            <w:pPr>
              <w:pStyle w:val="Compact"/>
              <w:jc w:val="left"/>
            </w:pPr>
            <w:r>
              <w:t xml:space="preserve">SE</w:t>
            </w:r>
          </w:p>
        </w:tc>
        <w:tc>
          <w:tcPr/>
          <w:p>
            <w:pPr>
              <w:pStyle w:val="Compact"/>
              <w:jc w:val="left"/>
            </w:pPr>
            <w:r>
              <w:t xml:space="preserve">Standard Errors — Sai số chuẩn</w:t>
            </w:r>
          </w:p>
        </w:tc>
      </w:tr>
      <w:tr>
        <w:tc>
          <w:tcPr/>
          <w:p>
            <w:pPr>
              <w:pStyle w:val="Compact"/>
              <w:jc w:val="left"/>
            </w:pPr>
            <w:r>
              <w:t xml:space="preserve">SIDS</w:t>
            </w:r>
          </w:p>
        </w:tc>
        <w:tc>
          <w:tcPr/>
          <w:p>
            <w:pPr>
              <w:pStyle w:val="Compact"/>
              <w:jc w:val="left"/>
            </w:pPr>
            <w:r>
              <w:t xml:space="preserve">Small Island Developing States — Các quốc đảo nhỏ đang phát triển</w:t>
            </w:r>
          </w:p>
        </w:tc>
      </w:tr>
      <w:tr>
        <w:tc>
          <w:tcPr/>
          <w:p>
            <w:pPr>
              <w:pStyle w:val="Compact"/>
              <w:jc w:val="left"/>
            </w:pPr>
            <w:r>
              <w:t xml:space="preserve">SME</w:t>
            </w:r>
          </w:p>
        </w:tc>
        <w:tc>
          <w:tcPr/>
          <w:p>
            <w:pPr>
              <w:pStyle w:val="Compact"/>
              <w:jc w:val="left"/>
            </w:pPr>
            <w:r>
              <w:t xml:space="preserve">Small and Medium-sized Enterprise — Doanh nghiệp vừa và nhỏ</w:t>
            </w:r>
          </w:p>
        </w:tc>
      </w:tr>
      <w:tr>
        <w:tc>
          <w:tcPr/>
          <w:p>
            <w:pPr>
              <w:pStyle w:val="Compact"/>
              <w:jc w:val="left"/>
            </w:pPr>
            <w:r>
              <w:t xml:space="preserve">SOE</w:t>
            </w:r>
          </w:p>
        </w:tc>
        <w:tc>
          <w:tcPr/>
          <w:p>
            <w:pPr>
              <w:pStyle w:val="Compact"/>
              <w:jc w:val="left"/>
            </w:pPr>
            <w:r>
              <w:t xml:space="preserve">State-Owned Enterprise — Doanh nghiệp nhà nước</w:t>
            </w:r>
          </w:p>
        </w:tc>
      </w:tr>
      <w:tr>
        <w:tc>
          <w:tcPr/>
          <w:p>
            <w:pPr>
              <w:pStyle w:val="Compact"/>
              <w:jc w:val="left"/>
            </w:pPr>
            <w:r>
              <w:t xml:space="preserve">TCI</w:t>
            </w:r>
          </w:p>
        </w:tc>
        <w:tc>
          <w:tcPr/>
          <w:p>
            <w:pPr>
              <w:pStyle w:val="Compact"/>
              <w:jc w:val="left"/>
            </w:pPr>
            <w:r>
              <w:t xml:space="preserve">Technological Capability Index — Chỉ số năng lực công nghệ</w:t>
            </w:r>
          </w:p>
        </w:tc>
      </w:tr>
      <w:tr>
        <w:tc>
          <w:tcPr/>
          <w:p>
            <w:pPr>
              <w:pStyle w:val="Compact"/>
              <w:jc w:val="left"/>
            </w:pPr>
            <w:r>
              <w:t xml:space="preserve">UE</w:t>
            </w:r>
          </w:p>
        </w:tc>
        <w:tc>
          <w:tcPr/>
          <w:p>
            <w:pPr>
              <w:pStyle w:val="Compact"/>
              <w:jc w:val="left"/>
            </w:pPr>
            <w:r>
              <w:t xml:space="preserve">Upper Echelons Theory —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0" w:name="phần-2--nội-dung-chuyên-đề"/>
    <w:p>
      <w:pPr>
        <w:pStyle w:val="Heading2"/>
      </w:pPr>
      <w:r>
        <w:t xml:space="preserve">Phần 2 — NỘI DUNG CHUYÊN ĐỀ</w:t>
      </w:r>
    </w:p>
    <w:bookmarkStart w:id="32" w:name="X250440a458f84752b4b3036c6ea6774636261fc"/>
    <w:p>
      <w:pPr>
        <w:pStyle w:val="Heading3"/>
      </w:pPr>
      <w:r>
        <w:t xml:space="preserve">2.1 Đặt vấn đề</w:t>
      </w:r>
    </w:p>
    <w:bookmarkStart w:id="27" w:name="X6fd7dffa6b3478b027da0e5f281b07809f22c1a"/>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Văn liệu kinh doanh quốc tế (IB) đã ghi nhận năm dạng hàm khác nhau trong quan hệ giữa cường độ quốc tế hóa và hiệu quả doanh nghiệp. Các dạng hàm gồm tuyến tính (Hsu &amp; Boggs, 2003), chữ U ngược (Gomes &amp; Ramaswamy, 1999; Hitt, Hoskisson &amp; Kim, 1997), S-curve (Lu &amp; Beamish, 2004; Contractor, Kundu &amp; Hsu, 2003), M-curve (Riahi-Belkaoui, 1998), và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w:t>
      </w:r>
    </w:p>
    <w:p>
      <w:pPr>
        <w:pStyle w:val="BodyText"/>
      </w:pPr>
      <w:r>
        <w:t xml:space="preserve">Châu Á trong giai đoạn 2009–2025 là phòng thí nghiệm tự nhiên độc đáo cho nghiên cứu quan hệ I→P. Khu vực này tồn tại đồng thời ít nhất sáu chế độ thể chế khác nhau theo khung phân loại ICRV. Nhóm tiên tiến đổi mới sáng tạo dẫn dắt (ICRV Nhóm I) gồm Singapore, Hong Kong SAR, Hàn Quốc, Đài Loan, và Israel. Nhóm tiên tiến tài nguyên dẫn dắt (ICRV Nhóm II) gồm Saudi Arabia, Qatar, Kuwait, Bahrain, và Brunei. Nhóm trung bình cao (ICRV Nhóm III) gồm Trung Quốc, Malaysia, Thái Lan, Kazakhstan, Armenia, và Georgia. Nhóm đang nổi (ICRV Nhóm IV) gồm Việt Nam, Indonesia, Philippines, Ấn Độ, Sri Lanka, Jordan, và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(Banalieva &amp; Dhanaraj, 2019; Verhoef et al., 2021; Yang, Zhao &amp; Wei, 2025).</w:t>
      </w:r>
    </w:p>
    <w:p>
      <w:pPr>
        <w:pStyle w:val="BodyText"/>
      </w:pPr>
      <w:r>
        <w:t xml:space="preserve">Khung lý thuyết hiện hành về quan hệ I→P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101.185 doanh nghiệp WBES xuyên 47 nền kinh tế. Phân tích đó làm rõ ba quy luật (pattern) then chốt: phân tán năng suất tăng đơn điệu theo chế độ từ Nhóm I đến Nhóm VI; tính không đồng nhất nội bộ trong nhóm Advanced; và quy luật thích ứng (adaptation pattern) đặc trưng của các quốc đảo nhỏ Thái Bình Dương. Đồng thời, phân tích đó phát hiện CDCM,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quy luật đó.</w:t>
      </w:r>
    </w:p>
    <w:p>
      <w:pPr>
        <w:pStyle w:val="BodyText"/>
      </w:pPr>
      <w:r>
        <w:t xml:space="preserve">Bốn bản thảo thực nghiệm đồng hành cung cấp bằng chứng quốc gia cụ thể kiểm định khả năng của khung đề xuất. P2 Trung Quốc SMEs (Đỗ &amp; Phan, 2026, JFAR đã công bố) phân tích 2.700 doanh nghiệp SMEs Trung Quốc và tìm thấy dạng bậc ba (cubic nonlinearity / S-curve ba giai đoạn), cung cấp tiền thân thực nghiệm cho H1 và cơ sở để so sánh với P5. P3 Việt Nam (Đỗ &amp; Phan, 2026, JABS under review) phân tích 2.958 doanh nghiệp WBES ba sóng (2009, 2015, 2023). Phân tích này xác nhận chữ U ngược trong cả ba sóng với điểm uốn 46,2% (2009), 39,3% (2015), 41,6% (2023), 39,7% (tổng hợp); TCI nhân quả qua biến công cụ (</w:t>
      </w:r>
      <m:oMath>
        <m:r>
          <m:t>β</m:t>
        </m:r>
        <m:r>
          <m:rPr>
            <m:sty m:val="p"/>
          </m:rPr>
          <m:t>=</m:t>
        </m:r>
        <m:r>
          <m:t>1.639</m:t>
        </m:r>
      </m:oMath>
      <w:r>
        <w:t xml:space="preserve">, F bậc một = 22,1); và DAI theo giai đoạn và phụ thuộc chọn lựa (IV null,</w:t>
      </w:r>
      <w:r>
        <w:t xml:space="preserve"> </w:t>
      </w:r>
      <m:oMath>
        <m:r>
          <m:t>β</m:t>
        </m:r>
        <m:r>
          <m:rPr>
            <m:sty m:val="p"/>
          </m:rPr>
          <m:t>=</m:t>
        </m:r>
        <m:r>
          <m:t>0.018</m:t>
        </m:r>
      </m:oMath>
      <w:r>
        <w:t xml:space="preserve">). P4 Singapore (Mar, Đỗ &amp; Phan, 2026, MIR under review) phân tích 623 doanh nghiệp WBES 2023, cho thấy điểm uốn hàm ý ở FSTS khoảng 88,6% và DAI hoạt động như nguồn lực mở rộng tình huống với hệ số DAI×FSTS² = +3,119 (p = 0,005). P5 Trung Quốc (Đỗ &amp; Phan, 2026, IJOEM under review) phân tích 4.559 doanh nghiệp WBES hai sóng (2012, 2024), xác nhận chữ U ngược bền vững cấu trúc với điểm uốn 49,4% (2012) và 47,2% (2024).</w:t>
      </w:r>
    </w:p>
    <w:bookmarkEnd w:id="27"/>
    <w:bookmarkStart w:id="28" w:name="X7f20f31862286b06027ff59c387b4d07500e944"/>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Mô hình này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X28671d9fcbac6b0efa836b4f85e9e35e8b46ecb"/>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X73c4e02a184ef39ee5bcd85312599da377da197"/>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X173e482f639c5b1a820140a37335e593ce55be4"/>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văn liệu IB cho khu vực 47 nền kinh tế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văn liệu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X8ba68eb4f47e195906995745687b14136750d53"/>
    <w:p>
      <w:pPr>
        <w:pStyle w:val="Heading3"/>
      </w:pPr>
      <w:r>
        <w:t xml:space="preserve">2.2 Phương pháp nghiên cứu</w:t>
      </w:r>
    </w:p>
    <w:p>
      <w:pPr>
        <w:pStyle w:val="FirstParagraph"/>
      </w:pPr>
      <w:r>
        <w:t xml:space="preserve">Chuyên đề tiếp cận theo lối tổng quan văn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Xfadb92acae8a4d37a91981bb046b7a60d6983fb"/>
    <w:p>
      <w:pPr>
        <w:pStyle w:val="Heading3"/>
      </w:pPr>
      <w:r>
        <w:t xml:space="preserve">2.3 Kết quả và thảo luận</w:t>
      </w:r>
    </w:p>
    <w:bookmarkStart w:id="37" w:name="X1a15d42e320d2462e5852a7fe8c9509599fae0d"/>
    <w:p>
      <w:pPr>
        <w:pStyle w:val="Heading4"/>
      </w:pPr>
      <w:r>
        <w:t xml:space="preserve">2.3.1 Tổng quan văn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Văn liệu IB đã ghi nhận không dưới năm dạng hàm khác nhau trong quan hệ giữa cường độ quốc tế hóa và hiệu quả doanh nghiệp. Sự đa dạng này không phải ngẫu nhiên mà phản ánh tính phụ thuộc ngữ cảnh của hiệu ứng quốc tế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là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 β₁(FSTS) &gt; 0, β₂(FSTS²) &lt; 0, β₃(FSTS³) &gt; 0. Bằng chứng hỗ trợ mạnh từ các MNE lớn, nhưng kém ổn định hơn với doanh nghiệp vừa và nhỏ.</w:t>
      </w:r>
    </w:p>
    <w:p>
      <w:pPr>
        <w:pStyle w:val="BodyText"/>
      </w:pPr>
      <w:r>
        <w:t xml:space="preserve">Dạng hàm thứ tư là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tắt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I→P, cơ chế, và bối cảnh xuất hiện.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 quy mô —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lớn cung cấp bức tranh tổng thể về quan hệ I→P.</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±15% FSTS,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 (không kiểm định hệ thống)</w:t>
            </w:r>
          </w:p>
        </w:tc>
        <w:tc>
          <w:tcPr/>
          <w:p>
            <w:pPr>
              <w:pStyle w:val="Compact"/>
              <w:jc w:val="left"/>
            </w:pPr>
            <w:r>
              <w:t xml:space="preserve">Partial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 (GDP, văn hóa)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Kirca et al. (2012)</w:t>
            </w:r>
          </w:p>
        </w:tc>
        <w:tc>
          <w:tcPr/>
          <w:p>
            <w:pPr>
              <w:pStyle w:val="Compact"/>
              <w:jc w:val="left"/>
            </w:pPr>
            <w:r>
              <w:t xml:space="preserve">✗</w:t>
            </w:r>
          </w:p>
        </w:tc>
        <w:tc>
          <w:tcPr/>
          <w:p>
            <w:pPr>
              <w:pStyle w:val="Compact"/>
              <w:jc w:val="left"/>
            </w:pPr>
            <w:r>
              <w:t xml:space="preserve">✓ (R&amp;D proxy)</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Partial (ngành)</w:t>
            </w:r>
          </w:p>
        </w:tc>
        <w:tc>
          <w:tcPr/>
          <w:p>
            <w:pPr>
              <w:pStyle w:val="Compact"/>
              <w:jc w:val="left"/>
            </w:pPr>
            <w:r>
              <w:t xml:space="preserve">✗</w:t>
            </w:r>
          </w:p>
        </w:tc>
      </w:tr>
      <w:tr>
        <w:tc>
          <w:tcPr/>
          <w:p>
            <w:pPr>
              <w:pStyle w:val="Compact"/>
              <w:jc w:val="left"/>
            </w:pPr>
            <w:r>
              <w:t xml:space="preserve">Marano et al. (2016)</w:t>
            </w:r>
          </w:p>
        </w:tc>
        <w:tc>
          <w:tcPr/>
          <w:p>
            <w:pPr>
              <w:pStyle w:val="Compact"/>
              <w:jc w:val="left"/>
            </w:pPr>
            <w:r>
              <w:t xml:space="preserve">✓ (TP ±15% FSTS)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 (cốt lõi)</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Wu, Wood &amp; Khan (2022)</w:t>
            </w:r>
          </w:p>
        </w:tc>
        <w:tc>
          <w:tcPr/>
          <w:p>
            <w:pPr>
              <w:pStyle w:val="Compact"/>
              <w:jc w:val="left"/>
            </w:pPr>
            <w:r>
              <w:t xml:space="preserve">✓ (TP thấp hơn EMNE)</w:t>
            </w:r>
          </w:p>
        </w:tc>
        <w:tc>
          <w:tcPr/>
          <w:p>
            <w:pPr>
              <w:pStyle w:val="Compact"/>
              <w:jc w:val="left"/>
            </w:pPr>
            <w:r>
              <w:t xml:space="preserve">Partial (absorptive capacity)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(20 năm)</w:t>
            </w:r>
          </w:p>
        </w:tc>
        <w:tc>
          <w:tcPr/>
          <w:p>
            <w:pPr>
              <w:pStyle w:val="Compact"/>
              <w:jc w:val="left"/>
            </w:pPr>
            <w:r>
              <w:t xml:space="preserve">✓ (EMNE/DMNE)</w:t>
            </w:r>
          </w:p>
        </w:tc>
        <w:tc>
          <w:tcPr/>
          <w:p>
            <w:pPr>
              <w:pStyle w:val="Compact"/>
              <w:jc w:val="left"/>
            </w:pPr>
            <w:r>
              <w:t xml:space="preserve">✗</w:t>
            </w:r>
          </w:p>
        </w:tc>
      </w:tr>
      <w:tr>
        <w:tc>
          <w:tcPr/>
          <w:p>
            <w:pPr>
              <w:pStyle w:val="Compact"/>
              <w:jc w:val="left"/>
            </w:pPr>
            <w:r>
              <w:t xml:space="preserve">Đỗ &amp; Phan (2026 — JFAR)</w:t>
            </w:r>
          </w:p>
        </w:tc>
        <w:tc>
          <w:tcPr/>
          <w:p>
            <w:pPr>
              <w:pStyle w:val="Compact"/>
              <w:jc w:val="left"/>
            </w:pPr>
            <w:r>
              <w:t xml:space="preserve">✓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 (H1: chữ U ngược + S-curve)</w:t>
            </w:r>
          </w:p>
        </w:tc>
        <w:tc>
          <w:tcPr/>
          <w:p>
            <w:pPr>
              <w:pStyle w:val="Compact"/>
              <w:jc w:val="left"/>
            </w:pPr>
            <w:r>
              <w:rPr>
                <w:bCs/>
                <w:b/>
              </w:rPr>
              <w:t xml:space="preserve">✓ (H2: nhân quả IV)</w:t>
            </w:r>
          </w:p>
        </w:tc>
        <w:tc>
          <w:tcPr/>
          <w:p>
            <w:pPr>
              <w:pStyle w:val="Compact"/>
              <w:jc w:val="left"/>
            </w:pPr>
            <w:r>
              <w:rPr>
                <w:bCs/>
                <w:b/>
              </w:rPr>
              <w:t xml:space="preserve">✓ (H3: CDCM phân biệt)</w:t>
            </w:r>
          </w:p>
        </w:tc>
        <w:tc>
          <w:tcPr/>
          <w:p>
            <w:pPr>
              <w:pStyle w:val="Compact"/>
              <w:jc w:val="left"/>
            </w:pPr>
            <w:r>
              <w:rPr>
                <w:bCs/>
                <w:b/>
              </w:rPr>
              <w:t xml:space="preserve">✓ (H4a–H4c)</w:t>
            </w:r>
          </w:p>
        </w:tc>
        <w:tc>
          <w:tcPr/>
          <w:p>
            <w:pPr>
              <w:pStyle w:val="Compact"/>
              <w:jc w:val="left"/>
            </w:pPr>
            <w:r>
              <w:rPr>
                <w:bCs/>
                <w:b/>
              </w:rPr>
              <w:t xml:space="preserve">✓ (H5: ICRV 6 nhóm)</w:t>
            </w:r>
          </w:p>
        </w:tc>
        <w:tc>
          <w:tcPr/>
          <w:p>
            <w:pPr>
              <w:pStyle w:val="Compact"/>
              <w:jc w:val="left"/>
            </w:pPr>
            <w:r>
              <w:rPr>
                <w:bCs/>
                <w:b/>
              </w:rPr>
              <w:t xml:space="preserve">✓ (H6: 3 giai đoạn)</w:t>
            </w:r>
          </w:p>
        </w:tc>
        <w:tc>
          <w:tcPr/>
          <w:p>
            <w:pPr>
              <w:pStyle w:val="Compact"/>
              <w:jc w:val="left"/>
            </w:pPr>
            <w:r>
              <w:rPr>
                <w:bCs/>
                <w:b/>
              </w:rPr>
              <w:t xml:space="preserve">✓ (Nhóm I→VI)</w:t>
            </w:r>
          </w:p>
        </w:tc>
        <w:tc>
          <w:tcPr/>
          <w:p>
            <w:pPr>
              <w:pStyle w:val="Compact"/>
              <w:jc w:val="left"/>
            </w:pPr>
            <w:r>
              <w:rPr>
                <w:bCs/>
                <w:b/>
              </w:rPr>
              <w:t xml:space="preserve">✓ (Nhóm VI FIP)</w:t>
            </w:r>
          </w:p>
        </w:tc>
      </w:tr>
    </w:tbl>
    <w:p>
      <w:pPr>
        <w:pStyle w:val="BodyText"/>
      </w:pPr>
      <w:r>
        <w:rPr>
          <w:iCs/>
          <w:i/>
        </w:rPr>
        <w:t xml:space="preserve">Ghi chú: ✓ = kiểm định chính thức hoặc đóng góp lý thuyết rõ ràng; Partial = đề cập nhưng không phải trọng tâm; ✗ = không bao gồm; – = không áp dụng. FIP = Forced Internationalization Penalty. TCI và DAI được phân tách theo tiêu chí CDCM; P2 JFAR không kiểm định CDCM (pre-framework) nhưng cung cấp bằng chứng phi tuyến cubic tiền thân.</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under review):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w:t>
      </w:r>
      <m:oMath>
        <m:r>
          <m:t>β</m:t>
        </m:r>
        <m:r>
          <m:rPr>
            <m:sty m:val="p"/>
          </m:rPr>
          <m:t>=</m:t>
        </m:r>
        <m:r>
          <m:t>0.179</m:t>
        </m:r>
      </m:oMath>
      <w:r>
        <w:t xml:space="preserve"> </w:t>
      </w:r>
      <w:r>
        <w:t xml:space="preserve">tổng hợp, p &lt; 0,001); biến công cụ cho TCI nhân quả (</w:t>
      </w:r>
      <m:oMath>
        <m:r>
          <m:t>β</m:t>
        </m:r>
        <m:r>
          <m:rPr>
            <m:sty m:val="p"/>
          </m:rPr>
          <m:t>=</m:t>
        </m:r>
        <m:r>
          <m:t>1.639</m:t>
        </m:r>
      </m:oMath>
      <w:r>
        <w:t xml:space="preserve">, F bậc một = 22,1). DAI phụ thuộc giai đoạn, dương năm 2009 (</w:t>
      </w:r>
      <m:oMath>
        <m:r>
          <m:t>β</m:t>
        </m:r>
        <m:r>
          <m:rPr>
            <m:sty m:val="p"/>
          </m:rPr>
          <m:t>=</m:t>
        </m:r>
        <m:r>
          <m:t>0.175</m:t>
        </m:r>
      </m:oMath>
      <w:r>
        <w:t xml:space="preserve">), null năm 2015, có tương tác âm năm 2023 (FSTS_c×DAI_z = −0,912, p = 0,043); biến công cụ cho DAI null (</w:t>
      </w:r>
      <m:oMath>
        <m:r>
          <m:t>β</m:t>
        </m:r>
        <m:r>
          <m:rPr>
            <m:sty m:val="p"/>
          </m:rPr>
          <m:t>=</m:t>
        </m:r>
        <m:r>
          <m:t>0.018</m:t>
        </m:r>
      </m:oMath>
      <w:r>
        <w:t xml:space="preserve">, p = 0,942, F bậc một = 34,6), phụ thuộc chọn lựa, không nhân quả.</w:t>
      </w:r>
    </w:p>
    <w:p>
      <w:pPr>
        <w:pStyle w:val="BodyText"/>
      </w:pPr>
      <w:r>
        <w:rPr>
          <w:iCs/>
          <w:i/>
        </w:rPr>
        <w:t xml:space="preserve">Lưu ý về đặc tả mô hình P3: P3 Vietnam sử dụng chuỗi M0–M8 riêng, trong đó M8 là mô hình đầy đủ: lnLP_it = α + β₁ FSTS_c + β₂ FSTS_c² + β₃ TCI_z + β₄ DAI_z + β₅(FSTS_c × DAI_z) + β₆(FSTS_c² × DAI_z) + γ·X + δ_s + [λ_t] + ε_it. Đặc tả đầy đủ M0–M8 và bảng định nghĩa biến được trình bày trong bản thảo P3 (Mục 3.2–Mục 3.3) và luận án (Mục 4.5.1). Chuỗi M0–M7 trong Chuyên đề 2 là các mô hình cấp độ pool 47 quốc gia, khác với đặc tả cấp độ quốc gia của P3.</w:t>
      </w:r>
    </w:p>
    <w:p>
      <w:pPr>
        <w:pStyle w:val="BodyText"/>
      </w:pPr>
      <w:r>
        <w:t xml:space="preserve">P4 Singapore (Mar, Đỗ &amp; Phan, 2026, MIR under review): Phân tích 623 doanh nghiệp WBES 2023. Trong nền kinh tế số bão hòa, đường cong I→P chủ yếu dương, điểm uốn hàm ý ở FSTS khoảng 88,6% (vùng thưa dữ liệu; kiểm định Lind–Mehlum p = 0,303). DAI×FSTS² = +3,119 (p = 0,005), DAI là nguồn lực mở rộng tình huống, chỉ phát huy ở FSTS cao nơi nhu cầu điều phối xuyên biên giới dày đặc. TCI dương trực tiếp (</w:t>
      </w:r>
      <m:oMath>
        <m:r>
          <m:t>β</m:t>
        </m:r>
        <m:r>
          <m:rPr>
            <m:sty m:val="p"/>
          </m:rPr>
          <m:t>=</m:t>
        </m:r>
        <m:r>
          <m:t>0.153</m:t>
        </m:r>
      </m:oMath>
      <w:r>
        <w:t xml:space="preserve">).</w:t>
      </w:r>
    </w:p>
    <w:p>
      <w:pPr>
        <w:pStyle w:val="BodyText"/>
      </w:pPr>
      <w:r>
        <w:t xml:space="preserve">P5 Trung Quốc (Đỗ &amp; Phan, 2026, IJOEM under review): Phân tích 4.559 doanh nghiệp WBES hai sóng (2012, 2024). Chữ U ngược bền vững cấu trúc, điểm uốn 49,4% (2012), 47,2% (2024), kiểm định Paternoster cho hệ số FSTS² không có sự khác biệt đáng kể (p = 0,545). TCI tăng cường theo thời gian (+0,260 dẫn đến +0,426, Paternoster p = 0,011).</w:t>
      </w:r>
    </w:p>
    <w:p>
      <w:pPr>
        <w:pStyle w:val="BodyText"/>
      </w:pPr>
      <w:r>
        <w:t xml:space="preserve">Bảng 2.3. So sánh bằng chứng bốn bản thảo đồng hành.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(under review)</w:t>
            </w:r>
          </w:p>
        </w:tc>
        <w:tc>
          <w:tcPr/>
          <w:p>
            <w:pPr>
              <w:pStyle w:val="Compact"/>
              <w:jc w:val="left"/>
            </w:pPr>
            <w:r>
              <w:t xml:space="preserve">MIR (under review)</w:t>
            </w:r>
          </w:p>
        </w:tc>
        <w:tc>
          <w:tcPr/>
          <w:p>
            <w:pPr>
              <w:pStyle w:val="Compact"/>
              <w:jc w:val="left"/>
            </w:pPr>
            <w:r>
              <w:t xml:space="preserve">IJOEM (under review)</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 JFAR) là bản thảo tiền thân đã công bố, tìm thấy bậc ba (cubic nonlinearity) trong mẫu SMEs Trung Quốc, bằng chứng quan trọng cho dạng S-curve trong H1. P2 không kiểm định CDCM, được đưa vào đây để làm rõ sự tiến hóa phương pháp từ P2 sang P5.</w:t>
      </w:r>
    </w:p>
    <w:p>
      <w:pPr>
        <w:pStyle w:val="BodyText"/>
      </w:pPr>
      <w:r>
        <w:t xml:space="preserve">Bốn bản thảo cùng xác nhận ba dự đoán cốt lõi của CDCM. Thứ nhất, TCI là nhân quả và bền vững qua ba nền kinh tế khác nhau. Thứ hai, DAI là phụ thuộc ngữ cảnh, không đồng nhất. Thứ ba, chữ U ngược (hoặc S-curve cubic trong P2) là dạng hàm phổ biến nhất cho doanh nghiệp vừa và nhỏ châu Á với điểm uốn phụ thuộc vào ICRV.</w:t>
      </w:r>
    </w:p>
    <w:bookmarkEnd w:id="36"/>
    <w:bookmarkEnd w:id="37"/>
    <w:bookmarkStart w:id="44" w:name="X6db6454cb7343cf63bbff81acf66665d04ccf29"/>
    <w:p>
      <w:pPr>
        <w:pStyle w:val="Heading4"/>
      </w:pPr>
      <w:r>
        <w:t xml:space="preserve">2.3.2 Khung lý thuyết tích hợp 4 tầng</w:t>
      </w:r>
    </w:p>
    <w:bookmarkStart w:id="38" w:name="tầng-1--lý-thuyết-quốc-tế-hóa-uppsala"/>
    <w:p>
      <w:pPr>
        <w:pStyle w:val="Heading5"/>
      </w:pPr>
      <w:r>
        <w:t xml:space="preserve">Tầng 1 —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Hiện tượng thứ nhất là doanh nghiệp quốc tế hóa ngay từ khi thành lập (Knight &amp; Cavusgil, 2004). Hiện tượng thứ hai là doanh nghiệp đa quốc gia từ thị trường mới nổi với quy trình quốc tế hóa khác biệt (Mathews, 2002; Luo &amp; Tung, 2007). Hiện tượng thứ ba là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8ece2e3529c502524817b2cb789dbe4387643af"/>
    <w:p>
      <w:pPr>
        <w:pStyle w:val="Heading5"/>
      </w:pPr>
      <w:r>
        <w:t xml:space="preserve">Tầng 2 —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w:t>
      </w:r>
      <w:r>
        <w:t xml:space="preserve"> </w:t>
      </w:r>
      <m:oMath>
        <m:r>
          <m:t>β</m:t>
        </m:r>
        <m:r>
          <m:rPr>
            <m:sty m:val="p"/>
          </m:rPr>
          <m:t>=</m:t>
        </m:r>
        <m:r>
          <m:t>0.179</m:t>
        </m:r>
      </m:oMath>
      <w:r>
        <w:t xml:space="preserve">, nhân quả từ IV) và P5 Trung Quốc (TCI tăng cường +0,260 dẫn đến +0,426) ủng hộ TCI là nguồn lực VRIN bền vững.</w:t>
      </w:r>
    </w:p>
    <w:bookmarkEnd w:id="39"/>
    <w:bookmarkStart w:id="40" w:name="Xdfac8a2b424ed4182e1112636d8214b6ae10bd4"/>
    <w:p>
      <w:pPr>
        <w:pStyle w:val="Heading5"/>
      </w:pPr>
      <w:r>
        <w:t xml:space="preserve">Tầng 3 —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Họ đề xuất rằng nền tảng số làm thay đổi căn bản ba yếu tố cốt lõi của lý thuyết IB: khoảng cách tâm lý giảm đến mức tối thiểu; chuỗi giá trị phân mảnh ở quy mô chưa từng có; và việc doanh nghiệp quốc tế hóa ngay từ ngày đầu thành lập trở thành chuẩn mới.</w:t>
      </w:r>
    </w:p>
    <w:p>
      <w:pPr>
        <w:pStyle w:val="BodyText"/>
      </w:pPr>
      <w:r>
        <w:t xml:space="preserve">Verhoef và cộng sự (2021) đề xuất phân biệt rõ giữa hai loại năng lực. Loại thứ nhất là năng lực công nghệ nội tại (TCI) gồm R&amp;D doanh nghiệp, đổi mới sản phẩm, chứng nhận chất lượng ISO, và bằng sáng chế; loại này được đo lường bằng đầu vào và đầu ra của hoạt động đổi mới (Tier 3–4). Loại thứ hai là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 FSTS²)</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 DAI×FSTS² = +3,119 (Nhóm I); P3: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gồm năm điểm.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Kết quả cũng phản ánh đặc điểm nhà quản trị (Upper Echelons/Hambrick &amp; Mason, 1984) và bị khuôn khổ bởi thể chế nội địa (Institutional Theory/North, 1990) qua gradient ICRV 6 nhóm với gánh nặng tắt buộc ở quốc đảo nhỏ. Cuối cùng, các tác động này thay đổi theo bối cảnh thời gian, được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2ec1cc6dbd47f936660533e43094c590c9cc4f"/>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gồm Uppsala Model, Resource-Based View, Institutional Theory, Upper Echelons Theory, và Foundational Digital Adoption Framework. Năm tầng này được tích hợp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8" w:name="Xdc5423e7a0a0b2d3707e5b67f7523984c238683"/>
    <w:p>
      <w:pPr>
        <w:pStyle w:val="Heading5"/>
      </w:pPr>
      <w:r>
        <w:t xml:space="preserve">Hình 2.1 — Khung khái niệm tích hợp (tổng quan)</w:t>
      </w:r>
    </w:p>
    <w:p>
      <w:pPr>
        <w:pStyle w:val="FirstParagraph"/>
      </w:pPr>
      <w:r>
        <w:drawing>
          <wp:inline>
            <wp:extent cx="5753100" cy="4009802"/>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4009802"/>
                    </a:xfrm>
                    <a:prstGeom prst="rect">
                      <a:avLst/>
                    </a:prstGeom>
                    <a:noFill/>
                    <a:ln w="9525">
                      <a:noFill/>
                      <a:headEnd/>
                      <a:tailEnd/>
                    </a:ln>
                  </pic:spPr>
                </pic:pic>
              </a:graphicData>
            </a:graphic>
          </wp:inline>
        </w:drawing>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 FSTS²_c, FSTS³_c) ở cực trái. Năm nhóm biến điều tiết phân theo hai cấp: cấp doanh nghiệp (TCI, H2; DAI, H3; đặc điểm nhà quản trị, H4a–H4c) và cấp quốc gia (ICRV regime, H5; giai đoạn thời gian, H6). Biến kiểm soát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Foundational Digital Adoption Framework (CDCM) biện minh cho H3; Upper Echelons biện minh cho H4; Institutional Theory biện minh cho H5. Bằng chứng neo đậu từ P3 Việt Nam, P4 Singapore, và P5 Trung Quốc xác nhận tính khả nghiệm trước khi áp dụng cho toàn pool 101.185 doanh nghiệp.</w:t>
      </w:r>
    </w:p>
    <w:bookmarkEnd w:id="48"/>
    <w:bookmarkStart w:id="52" w:name="hình-22--cơ-chế-cdcm-chi-tiết"/>
    <w:p>
      <w:pPr>
        <w:pStyle w:val="Heading5"/>
      </w:pPr>
      <w:r>
        <w:t xml:space="preserve">Hình 2.2 — Cơ chế CDCM chi tiết</w:t>
      </w:r>
    </w:p>
    <w:p>
      <w:pPr>
        <w:pStyle w:val="FirstParagraph"/>
      </w:pPr>
      <w:r>
        <w:drawing>
          <wp:inline>
            <wp:extent cx="5753100" cy="2573755"/>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(FSTS²×DAI = +3,119; P4). Nhóm IV (Việt Nam, Lower_mid_transition, bão hòa số thấp; Nhóm IV trong cả hệ 5 nhóm P6 lẫn hệ 6 nhóm CD2): DAI Tier-1 là ràng buộc đo lường; tác động dương theo OLS nhưng biến mất sau hiệu chỉnh nội sinh biến công cụ (</w:t>
      </w:r>
      <m:oMath>
        <m:r>
          <m:t>β</m:t>
        </m:r>
        <m:r>
          <m:rPr>
            <m:sty m:val="p"/>
          </m:rPr>
          <m:t>=</m:t>
        </m:r>
        <m:r>
          <m:t>0.018</m:t>
        </m:r>
      </m:oMath>
      <w:r>
        <w:t xml:space="preserve">, p = 0,942; P3). Nhóm III (Trung Quốc, Upper-Middle/Emerging transition, bão hòa số trung bình): DAI Tier-1 phổ biến &gt;60%, mất khả năng phân biệt, giữ như biến kiểm soát không phải biến điều tiết (P5). Cơ chế này giải thích tại sao kết quả "DAI null" và "DAI dương" 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 Mapping biến đầy đủ</w:t>
      </w:r>
    </w:p>
    <w:p>
      <w:pPr>
        <w:pStyle w:val="FirstParagraph"/>
      </w:pPr>
      <w:r>
        <w:t xml:space="preserve">Bảng 2.4. Mapping biến đầy đủ: khái niệm lý thuyết, biến WBES, kỳ vọng dấu, giả thuyết.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w:r>
              <w:t xml:space="preserve">β₁ &gt; 0</w:t>
            </w:r>
          </w:p>
        </w:tc>
        <w:tc>
          <w:tcPr/>
          <w:p>
            <w:pPr>
              <w:pStyle w:val="Compact"/>
              <w:jc w:val="left"/>
            </w:pPr>
            <w:r>
              <w:t xml:space="preserve">H1</w:t>
            </w:r>
          </w:p>
        </w:tc>
      </w:tr>
      <w:tr>
        <w:tc>
          <w:tcPr/>
          <w:p>
            <w:pPr>
              <w:pStyle w:val="Compact"/>
              <w:jc w:val="left"/>
            </w:pPr>
            <w:r>
              <w:t xml:space="preserve">FSTS²</w:t>
            </w:r>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w:r>
              <w:t xml:space="preserve">β₂ &lt; 0</w:t>
            </w:r>
          </w:p>
        </w:tc>
        <w:tc>
          <w:tcPr/>
          <w:p>
            <w:pPr>
              <w:pStyle w:val="Compact"/>
              <w:jc w:val="left"/>
            </w:pPr>
            <w:r>
              <w:t xml:space="preserve">H1</w:t>
            </w:r>
          </w:p>
        </w:tc>
      </w:tr>
      <w:tr>
        <w:tc>
          <w:tcPr/>
          <w:p>
            <w:pPr>
              <w:pStyle w:val="Compact"/>
              <w:jc w:val="left"/>
            </w:pPr>
            <w:r>
              <w:t xml:space="preserve">FSTS³</w:t>
            </w:r>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w:r>
              <w:t xml:space="preserve">β₃ &gt;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w:r>
              <w:t xml:space="preserve">FSTS²×DAI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 FSTS² để giảm đa cộng tuyến.</w:t>
      </w:r>
    </w:p>
    <w:bookmarkEnd w:id="53"/>
    <w:bookmarkEnd w:id="54"/>
    <w:bookmarkStart w:id="63" w:name="X06e1038a517412390e729f6b4e28e81b8d64800"/>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văn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magnitude khám phá). H4c là hoàn toàn khám phá (two-sided, không có dấu tiên nghiệm).</w:t>
      </w:r>
    </w:p>
    <w:bookmarkEnd w:id="55"/>
    <w:bookmarkStart w:id="56" w:name="h1--phi-tuyến-trong-quan-hệ-ip"/>
    <w:p>
      <w:pPr>
        <w:pStyle w:val="Heading5"/>
      </w:pPr>
      <w:r>
        <w:t xml:space="preserve">H1 —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khác nhau theo chế độ và giảm dần theo chiều thể chế mạnh hơn. Nhóm I có</w:t>
      </w:r>
      <w:r>
        <w:t xml:space="preserve"> </w:t>
      </w:r>
      <w:r>
        <w:rPr>
          <w:bCs/>
          <w:b/>
        </w:rPr>
        <w:t xml:space="preserve">điểm uốn thấp nhất (~28%, P7 toàn mẫu)</w:t>
      </w:r>
      <w:r>
        <w:t xml:space="preserve"> </w:t>
      </w:r>
      <w:r>
        <w:t xml:space="preserve">vì thể chế mạnh giúp doanh nghiệp đạt đỉnh hiệu suất ở mức FSTS thấp hơn. Nhóm III có điểm uốn trung bình (47–49%); Nhóm IV có điểm uốn trung bình–thấp (39–46%); Nhóm V có điểm uốn cao (~50–55%). Nhóm VI có pattern gánh nặng tắt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doanh nghiệp (ln LP) có dạng phi tuyến, với β₁(FSTS) &gt; 0 và β₂(FSTS²) &lt; 0, phản ánh chữ U ngược ở phần lớn các chế độ ICRV. Điểm uốn</w:t>
      </w:r>
      <w:r>
        <w:t xml:space="preserve"> </w:t>
      </w:r>
      <w:r>
        <w:rPr>
          <w:bCs/>
          <w:b/>
        </w:rPr>
        <w:t xml:space="preserve">giảm</w:t>
      </w:r>
      <w:r>
        <w:t xml:space="preserve"> </w:t>
      </w:r>
      <w:r>
        <w:t xml:space="preserve">theo gradient ICRV:</w:t>
      </w:r>
      <w:r>
        <w:t xml:space="preserve"> </w:t>
      </w:r>
      <w:r>
        <w:rPr>
          <w:bCs/>
          <w:b/>
        </w:rPr>
        <w:t xml:space="preserve">thấp nhất ở Nhóm I (~28%)</w:t>
      </w:r>
      <w:r>
        <w:t xml:space="preserve">, tăng dần qua Nhóm III (~47–49%) dẫn đến Nhóm IV (~39–46%) dẫn đến Nhóm V (~50–55%), với Nhóm VI có pattern gánh nặng tắt buộc (không có điểm uốn). Thể chế càng mạnh, doanh nghiệp đạt đỉnh hiệu suất xuất khẩu ở mức cường độ thấp hơn.</w:t>
      </w:r>
    </w:p>
    <w:p>
      <w:pPr>
        <w:pStyle w:val="BodyText"/>
      </w:pPr>
      <w:r>
        <w:t xml:space="preserve">H1a (biên tham gia): Bước chuyển từ không xuất khẩu (FSTS = 0) sang xuất khẩu (FSTS &gt; 0) tạo ra mức tăng năng suất lao động đáng kể và dương, tác động tham gia thị trường xuất khẩu là động lực chính của hiệu ứng I→P.</w:t>
      </w:r>
    </w:p>
    <w:p>
      <w:pPr>
        <w:pStyle w:val="BodyText"/>
      </w:pPr>
      <w:r>
        <w:t xml:space="preserve">H1b (biên cường độ, gần phẳng): Trong mẫu chỉ gồm doanh nghiệp xuất khẩu, đường cong I→P gần phẳng, tức là sau khi đã xuất khẩu, việc tăng cường độ tiếp theo không tạo thêm nhiều lợi ích năng suất nếu không có TCI và DAI đủ mạnh.</w:t>
      </w:r>
    </w:p>
    <w:bookmarkEnd w:id="56"/>
    <w:bookmarkStart w:id="57" w:name="h2--tci-điều-tiết-tích-cực-nâng-mặt-bằng"/>
    <w:p>
      <w:pPr>
        <w:pStyle w:val="Heading5"/>
      </w:pPr>
      <w:r>
        <w:t xml:space="preserve">H2 —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xác nhận TCI là nhân quả. P5 Trung Quốc: β_z(TCI) tăng từ +0,260 (2012) lên +0,426 (2024), Paternoster z = −2,55 (p = 0,011), cho thấy TCI nâng mặt bằng tăng cường theo thời gian. P4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0516cda47fb7e119b35b670f6b14c3b43dbbdc7"/>
    <w:p>
      <w:pPr>
        <w:pStyle w:val="Heading5"/>
      </w:pPr>
      <w:r>
        <w:t xml:space="preserve">H3a–H3b —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DAI mở rộng tình huống có điều kiện. P3 Việt Nam: biến công cụ null</w:t>
      </w:r>
      <w:r>
        <w:t xml:space="preserve"> </w:t>
      </w:r>
      <m:oMath>
        <m:r>
          <m:t>β</m:t>
        </m:r>
        <m:r>
          <m:rPr>
            <m:sty m:val="p"/>
          </m:rPr>
          <m:t>=</m:t>
        </m:r>
        <m:r>
          <m:t>0.018</m:t>
        </m:r>
      </m:oMath>
      <w:r>
        <w:t xml:space="preserve"> </w:t>
      </w:r>
      <w:r>
        <w:t xml:space="preserve">(p = 0,942), OLS dương phản ánh phụ thuộc chọn lựa, không nhân quả. P5 Trung Quốc: không điều tiết độ cong.</w:t>
      </w:r>
    </w:p>
    <w:p>
      <w:pPr>
        <w:pStyle w:val="BodyText"/>
      </w:pPr>
      <w:r>
        <w:t xml:space="preserve">Bảng 2.6. CDCM — Dự đoán tác động DAI theo 3 chiều ngữ cảnh.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 FSTS²×DAI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tắt buộc (&gt;40%)</w:t>
            </w:r>
          </w:p>
        </w:tc>
        <w:tc>
          <w:tcPr/>
          <w:p>
            <w:pPr>
              <w:pStyle w:val="Compact"/>
              <w:jc w:val="left"/>
            </w:pPr>
            <w:r>
              <w:t xml:space="preserve">Thấp–trung</w:t>
            </w:r>
          </w:p>
        </w:tc>
        <w:tc>
          <w:tcPr/>
          <w:p>
            <w:pPr>
              <w:pStyle w:val="Compact"/>
              <w:jc w:val="left"/>
            </w:pPr>
            <w:r>
              <w:t xml:space="preserve">Gánh nặng tắt buộc trội</w:t>
            </w:r>
          </w:p>
        </w:tc>
        <w:tc>
          <w:tcPr/>
          <w:p>
            <w:pPr>
              <w:pStyle w:val="Compact"/>
              <w:jc w:val="left"/>
            </w:pPr>
            <w:r>
              <w:t xml:space="preserve">—</w:t>
            </w:r>
          </w:p>
        </w:tc>
        <w:tc>
          <w:tcPr/>
          <w:p>
            <w:pPr>
              <w:pStyle w:val="Compact"/>
              <w:jc w:val="left"/>
            </w:pPr>
            <w:r>
              <w:t xml:space="preserve">I→P gánh nặng tắt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nguồn lực mở rộng tình huống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 dẫn đến ln(LP): β(FSTS×DAI) &gt; 0 và/hoặc β(FSTS²×DAI) &gt; 0 trong ước lượng OLS. Cơ chế: DAI giảm khoảng cách tâm lý, mở rộng tiếp cận thị trường ảo, và tăng năng lực điều phối ở những bối cảnh mà website presence vẫn là tín hiệu phân biệt (chưa bão hòa). Dẫu vậy, kiểm định bằng biến công cụ tại Nhóm IV (Việt Nam) cho kết quả null (</w:t>
      </w:r>
      <m:oMath>
        <m:r>
          <m:t>β</m:t>
        </m:r>
        <m:r>
          <m:rPr>
            <m:sty m:val="p"/>
          </m:rPr>
          <m:t>=</m:t>
        </m:r>
        <m:r>
          <m:t>0.018</m:t>
        </m:r>
      </m:oMath>
      <w:r>
        <w:t xml:space="preserve">; p = 0,942), tức OLS dương phản ánh phụ thuộc chọn lựa chứ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Bên cạnh đó, tác động điều tiết điều kiện β(FSTS²×DAI) vẫn dương ở mức FSTS cao nơi nhu cầu điều phối xuyên biên giới cao (bằng chứng neo đậu: P4 Singapore β(FSTS²×DAI) = +3,119, p = 0,005).</w:t>
      </w:r>
    </w:p>
    <w:p>
      <w:pPr>
        <w:pStyle w:val="BodyText"/>
      </w:pPr>
      <w:r>
        <w:t xml:space="preserve">TCI và DAI là hai cấu trúc phân biệt và không thể thay thế nhau trong cả hai sub-hypothesis (CDCM distinctiveness hypothesis, H3c: β(TCI) ≠ β(DAI) và hai cấu trúc thỏa mãn tiêu chí discriminant validity).</w:t>
      </w:r>
    </w:p>
    <w:bookmarkEnd w:id="58"/>
    <w:bookmarkStart w:id="59" w:name="h4ah4c-đặc-điểm-nhà-quản-trị-điều-tiết"/>
    <w:p>
      <w:pPr>
        <w:pStyle w:val="Heading5"/>
      </w:pPr>
      <w:r>
        <w:t xml:space="preserve">H4a–H4c, Đặc điểm nhà quản trị điều tiết</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 dẫn đến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 dẫn đến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two-sided. Bằng chứng trong văn liệu Upper Echelons không đồng nhất về chiều hướng cho châu Á (Hambrick, 2007); H4c vì vậy là exploratory.</w:t>
      </w:r>
    </w:p>
    <w:p>
      <w:pPr>
        <w:pStyle w:val="BodyText"/>
      </w:pPr>
      <w:r>
        <w:t xml:space="preserve">Phạm vi kiểm định: H4a–H4b là biến đại diện (proxy) cho cơ chế Upper Echelons, kết quả là chỉ báo gián tiếp, không phải kiểm định trực tiếp cấu trúc lý thuyết gốc. Hạn chế này cần được thừa nhận rõ trong phần thảo luận kết quả.</w:t>
      </w:r>
    </w:p>
    <w:bookmarkEnd w:id="59"/>
    <w:bookmarkStart w:id="60" w:name="h5--thể-chế-icrv-điều-tiết-theo-gradient"/>
    <w:p>
      <w:pPr>
        <w:pStyle w:val="Heading5"/>
      </w:pPr>
      <w:r>
        <w:t xml:space="preserve">H5 —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Các yếu tố này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~28% FSTS (P7 toàn mẫu)</w:t>
            </w:r>
          </w:p>
        </w:tc>
        <w:tc>
          <w:tcPr/>
          <w:p>
            <w:pPr>
              <w:pStyle w:val="Compact"/>
              <w:jc w:val="left"/>
            </w:pPr>
            <w:r>
              <w:t xml:space="preserve">P7 pooled (N=84,910): TP ~28% (thấp nhất); P4 Singapore TP ~88,6%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~45–55% FSTS</w:t>
            </w:r>
          </w:p>
        </w:tc>
        <w:tc>
          <w:tcPr/>
          <w:p>
            <w:pPr>
              <w:pStyle w:val="Compact"/>
              <w:jc w:val="left"/>
            </w:pPr>
            <w:r>
              <w:t xml:space="preserve">P5 Trung Quốc TP 47–49%</w:t>
            </w:r>
          </w:p>
        </w:tc>
      </w:tr>
      <w:tr>
        <w:tc>
          <w:tcPr/>
          <w:p>
            <w:pPr>
              <w:pStyle w:val="Compact"/>
              <w:jc w:val="left"/>
            </w:pPr>
            <w:r>
              <w:t xml:space="preserve">Nhóm IV (đang nổi)</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(cận biên)</w:t>
            </w:r>
          </w:p>
        </w:tc>
        <w:tc>
          <w:tcPr/>
          <w:p>
            <w:pPr>
              <w:pStyle w:val="Compact"/>
              <w:jc w:val="left"/>
            </w:pPr>
            <w:r>
              <w:t xml:space="preserve">~20–35% FSTS</w:t>
            </w:r>
          </w:p>
        </w:tc>
        <w:tc>
          <w:tcPr/>
          <w:p>
            <w:pPr>
              <w:pStyle w:val="Compact"/>
              <w:jc w:val="left"/>
            </w:pPr>
            <w:r>
              <w:t xml:space="preserve">Khoảng trống thể chế → trần thấp</w:t>
            </w:r>
          </w:p>
        </w:tc>
      </w:tr>
      <w:tr>
        <w:tc>
          <w:tcPr/>
          <w:p>
            <w:pPr>
              <w:pStyle w:val="Compact"/>
              <w:jc w:val="left"/>
            </w:pPr>
            <w:r>
              <w:t xml:space="preserve">Nhóm VI (SIDS)</w:t>
            </w:r>
          </w:p>
        </w:tc>
        <w:tc>
          <w:tcPr/>
          <w:p>
            <w:pPr>
              <w:pStyle w:val="Compact"/>
              <w:jc w:val="left"/>
            </w:pPr>
            <w:r>
              <w:t xml:space="preserve">Không có TP / gánh nặng tắt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dẫn đến III dẫn đến IV dẫn đến V; Nhóm VI có pattern gánh nặng tắt buộc. Điểm uốn</w:t>
      </w:r>
      <w:r>
        <w:t xml:space="preserve"> </w:t>
      </w:r>
      <w:r>
        <w:rPr>
          <w:bCs/>
          <w:b/>
        </w:rPr>
        <w:t xml:space="preserve">giảm đơn điệu</w:t>
      </w:r>
      <w:r>
        <w:t xml:space="preserve"> </w:t>
      </w:r>
      <w:r>
        <w:t xml:space="preserve">theo gradient từ Nhóm V (~50–55%) xuống Nhóm I (~28%), thể chế càng mạnh, doanh nghiệp đạt đỉnh hiệu suất ở mức FSTS</w:t>
      </w:r>
      <w:r>
        <w:t xml:space="preserve"> </w:t>
      </w:r>
      <w:r>
        <w:rPr>
          <w:bCs/>
          <w:b/>
        </w:rPr>
        <w:t xml:space="preserve">thấp hơn</w:t>
      </w:r>
      <w:r>
        <w:t xml:space="preserve">, phản ánh chi phí giao dịch thấp và năng lực điều phối cao trong bối cảnh thể chế vững mạnh.</w:t>
      </w:r>
    </w:p>
    <w:bookmarkEnd w:id="60"/>
    <w:bookmarkStart w:id="61" w:name="h6--tính-không-đồng-nhất-theo-thời-gian"/>
    <w:p>
      <w:pPr>
        <w:pStyle w:val="Heading5"/>
      </w:pPr>
      <w:r>
        <w:t xml:space="preserve">H6 —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I→P dịch chuyển đáng kể. P5 Trung Quốc: TCI Paternoster p = 0,011, hiệu ứng TCI tăng cường 2012→2024. P5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 FSTS², FSTS³</w:t>
            </w:r>
          </w:p>
        </w:tc>
        <w:tc>
          <w:tcPr/>
          <w:p>
            <w:pPr>
              <w:pStyle w:val="Compact"/>
              <w:jc w:val="left"/>
            </w:pPr>
            <w:r>
              <w:t xml:space="preserve">β₁ &gt; 0; β₂ &lt;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 FSTS²×DAI</w:t>
            </w:r>
          </w:p>
        </w:tc>
        <w:tc>
          <w:tcPr/>
          <w:p>
            <w:pPr>
              <w:pStyle w:val="Compact"/>
              <w:jc w:val="left"/>
            </w:pPr>
            <w:r>
              <w:t xml:space="preserve">Direct: null/–; cond: β(FSTS²×DAI) &gt; 0 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tắt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 ≠ 0</w:t>
            </w:r>
          </w:p>
        </w:tc>
        <w:tc>
          <w:tcPr/>
          <w:p>
            <w:pPr>
              <w:pStyle w:val="Compact"/>
              <w:jc w:val="left"/>
            </w:pPr>
            <w:r>
              <w:t xml:space="preserve">P3 Paternoster p &lt; 0,001; P5 TCI p = 0,011</w:t>
            </w:r>
          </w:p>
        </w:tc>
      </w:tr>
    </w:tbl>
    <w:p>
      <w:pPr>
        <w:pStyle w:val="BodyText"/>
      </w:pPr>
      <w:r>
        <w:t xml:space="preserve">Chín giả thuyết (H1a–H1b, H2, H3a–H3b với H3c distinctiveness, H4a–H4c, H5, H6) tạo thành hệ thống logic nhất quán. H1a/H1b (phi tuyến, biên tham gia vs biên cường độ) là trọng tâm. H2 (TCI nâng mặt bằng) và H3a/H3b (DAI phụ thuộc regime) phân rã cơ chế năng lực doanh nghiệp với dấu kỳ vọng khác nhau theo ngữ cảnh. H4a–H4c (Quản trị) bổ sung tầng Upper Echelons với dấu kỳ vọng phân biệt theo đặc điểm nhà quản trị. H5 (ICRV gradient) là tầng thể chế bao trùm, và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Xddbf6d90ba3605bd9c97fdd0a837b1ed2b589e3"/>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 FSTS² để giảm đa cộng tuyến.</w:t>
      </w:r>
    </w:p>
    <w:p>
      <w:pPr>
        <w:pStyle w:val="BodyText"/>
      </w:pPr>
      <w:r>
        <w:t xml:space="preserve">Tiêu chí lựa chọn mô hình: ΔR² &gt;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 Baseline tuyến tính</w:t>
      </w:r>
    </w:p>
    <w:p>
      <w:pPr>
        <w:pStyle w:val="FirstParagraph"/>
      </w:pPr>
      <w:r>
        <w:t xml:space="preserve">\begin{equation}</w:t>
      </w:r>
      <w:r>
        <w:t xml:space="preserve"> </w:t>
      </w:r>
      <w:r>
        <w:t xml:space="preserve">\ln(\mathrm{LP})_i = \beta_0 + \beta_1 \cdot \mathit{FSTS}_i + \boldsymbol{\gamma}'\mathbf{X}_i + \alpha_j + \delta_t + \varepsilon_i</w:t>
      </w:r>
      <w:r>
        <w:t xml:space="preserve"> </w:t>
      </w:r>
      <w:r>
        <w:t xml:space="preserve">\label{eq:M0}</w:t>
      </w:r>
      <w:r>
        <w:t xml:space="preserve"> </w:t>
      </w:r>
      <w:r>
        <w:t xml:space="preserve">\end{equation}</w:t>
      </w:r>
    </w:p>
    <w:p>
      <w:pPr>
        <w:pStyle w:val="BodyText"/>
      </w:pPr>
      <w:r>
        <w:t xml:space="preserve">Mục đích: thiết lập baseline và kiểm tra hướng tác động tuyến tính thuần túy.</w:t>
      </w:r>
      <w:r>
        <w:t xml:space="preserve"> </w:t>
      </w:r>
      <w:r>
        <w:t xml:space="preserve">Kỳ vọng: β₁ &gt;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47a362c1312a55af0e7fdcd5a1b0398406d4027"/>
    <w:p>
      <w:pPr>
        <w:pStyle w:val="Heading5"/>
      </w:pPr>
      <w:r>
        <w:t xml:space="preserve">M1 — Chữ U ngược bậc hai (kiểm định H1 bậc hai)</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\mathit{FSTS}_{c,i}^{2} + \boldsymbol{\gamma}'\mathbf{X}_i + \alpha_j + \delta_t + \varepsilon_i</w:t>
      </w:r>
      <w:r>
        <w:t xml:space="preserve"> </w:t>
      </w:r>
      <w:r>
        <w:t xml:space="preserve">\label{eq:M1}</w:t>
      </w:r>
      <w:r>
        <w:t xml:space="preserve"> </w:t>
      </w:r>
      <w:r>
        <w:t xml:space="preserve">\end{equation}</w:t>
      </w:r>
    </w:p>
    <w:p>
      <w:pPr>
        <w:pStyle w:val="BodyText"/>
      </w:pPr>
      <w:r>
        <w:t xml:space="preserve">Mục đích: kiểm định chữ U ngược trong H1, dạng hàm phổ biến nhất trong văn liệu.</w:t>
      </w:r>
      <w:r>
        <w:t xml:space="preserve"> </w:t>
      </w:r>
      <w:r>
        <w:t xml:space="preserve">Kỳ vọng: β₁ &gt; 0, β₂ &lt; 0.</w:t>
      </w:r>
      <w:r>
        <w:t xml:space="preserve"> </w:t>
      </w:r>
      <w:r>
        <w:t xml:space="preserve">Điểm uốn: TP₁ = −β₁/(2β₂),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 S-curve bậc ba (kiểm định H1 đầy đủ)</w:t>
      </w:r>
    </w:p>
    <w:p>
      <w:pPr>
        <w:pStyle w:val="FirstParagraph"/>
      </w:pPr>
      <w:r>
        <w:t xml:space="preserve">\begin{equation}</w:t>
      </w:r>
      <w:r>
        <w:t xml:space="preserve"> </w:t>
      </w:r>
      <w:r>
        <w:t xml:space="preserve">\ln(\mathrm{LP})</w:t>
      </w:r>
      <w:r>
        <w:rPr>
          <w:iCs/>
          <w:i/>
        </w:rPr>
        <w:t xml:space="preserve">i = \beta_0 + \beta_1 \cdot \mathit{FSTS}</w:t>
      </w:r>
      <w:r>
        <w:t xml:space="preserve">{c,i} + \beta_2 \cdot \mathit{FSTS}</w:t>
      </w:r>
      <w:r>
        <w:rPr>
          <w:iCs/>
          <w:i/>
        </w:rPr>
        <w:t xml:space="preserve">{c,i}^{2} + \beta_3 \cdot \mathit{FSTS}</w:t>
      </w:r>
      <w:r>
        <w:t xml:space="preserve">{c,i}^{3} + \boldsymbol{\gamma}'\mathbf{X}_i + \alpha_j + \delta_t + \varepsilon_i</w:t>
      </w:r>
      <w:r>
        <w:t xml:space="preserve"> </w:t>
      </w:r>
      <w:r>
        <w:t xml:space="preserve">\label{eq:M2}</w:t>
      </w:r>
      <w:r>
        <w:t xml:space="preserve"> </w:t>
      </w:r>
      <w:r>
        <w:t xml:space="preserve">\end{equation}</w:t>
      </w:r>
    </w:p>
    <w:p>
      <w:pPr>
        <w:pStyle w:val="BodyText"/>
      </w:pPr>
      <w:r>
        <w:t xml:space="preserve">Mục đích: kiểm định S-curve ba giai đoạn (Lu &amp; Beamish, 2004; Contractor et al., 2003).</w:t>
      </w:r>
      <w:r>
        <w:t xml:space="preserve"> </w:t>
      </w:r>
      <w:r>
        <w:t xml:space="preserve">Kỳ vọng: β₁ &gt; 0, β₂ &lt; 0, β₃ &gt; 0.</w:t>
      </w:r>
      <w:r>
        <w:t xml:space="preserve"> </w:t>
      </w:r>
      <w:r>
        <w:t xml:space="preserve">Lựa chọn mô hình: so sánh M1 và M2 bằng AIC, BIC, và F-test β₃ = 0.</w:t>
      </w:r>
    </w:p>
    <w:bookmarkEnd w:id="67"/>
    <w:bookmarkStart w:id="68" w:name="m3---điều-tiết-tci-kiểm-định-h2"/>
    <w:p>
      <w:pPr>
        <w:pStyle w:val="Heading5"/>
      </w:pPr>
      <w:r>
        <w:t xml:space="preserve">M3 — + Điều tiết TCI (kiểm định H2)</w:t>
      </w:r>
    </w:p>
    <w:p>
      <w:pPr>
        <w:pStyle w:val="FirstParagraph"/>
      </w:pPr>
      <w:r>
        <w:t xml:space="preserve">\begin{align}</w:t>
      </w:r>
      <w:r>
        <w:t xml:space="preserve"> </w:t>
      </w:r>
      <w:r>
        <w:t xml:space="preserve">\ln(\mathrm{LP})</w:t>
      </w:r>
      <w:r>
        <w:rPr>
          <w:iCs/>
          <w:i/>
        </w:rPr>
        <w:t xml:space="preserve">i &amp;= \underbrace{\beta_0 + \beta_1,\mathit{FSTS}</w:t>
      </w:r>
      <w:r>
        <w:t xml:space="preserve">{c,i} + \beta_2,\mathit{FSTS}</w:t>
      </w:r>
      <w:r>
        <w:rPr>
          <w:iCs/>
          <w:i/>
        </w:rPr>
        <w:t xml:space="preserve">{c,i}^{2}}</w:t>
      </w:r>
      <w:r>
        <w:t xml:space="preserve">{M1} \notag \</w:t>
      </w:r>
      <w:r>
        <w:t xml:space="preserve"> </w:t>
      </w:r>
      <w:r>
        <w:t xml:space="preserve">&amp;\quad + \beta_3 \cdot \mathrm{TCI}</w:t>
      </w:r>
      <w:r>
        <w:rPr>
          <w:iCs/>
          <w:i/>
        </w:rPr>
        <w:t xml:space="preserve">i + \beta_4 \cdot (\mathit{FSTS}</w:t>
      </w:r>
      <w:r>
        <w:t xml:space="preserve">{c,i} \times \mathrm{TCI}</w:t>
      </w:r>
      <w:r>
        <w:rPr>
          <w:iCs/>
          <w:i/>
        </w:rPr>
        <w:t xml:space="preserve">i) + \beta_5 \cdot (\mathit{FSTS}</w:t>
      </w:r>
      <w:r>
        <w:t xml:space="preserve">{c,i}^{2} \times \mathrm{TCI}_i) \notag \</w:t>
      </w:r>
      <w:r>
        <w:t xml:space="preserve"> </w:t>
      </w:r>
      <w:r>
        <w:t xml:space="preserve">&amp;\quad + \boldsymbol{\gamma}'\mathbf{X}_i + \alpha_j + \delta_t + \varepsilon_i</w:t>
      </w:r>
      <w:r>
        <w:t xml:space="preserve"> </w:t>
      </w:r>
      <w:r>
        <w:t xml:space="preserve">\label{eq:M3}</w:t>
      </w:r>
      <w:r>
        <w:t xml:space="preserve"> </w:t>
      </w:r>
      <w:r>
        <w:t xml:space="preserve">\end{align}</w:t>
      </w:r>
    </w:p>
    <w:p>
      <w:pPr>
        <w:pStyle w:val="BodyText"/>
      </w:pPr>
      <w:r>
        <w:t xml:space="preserve">Mục đích: kiểm định H2, tức TCI là nâng mặt bằng (β₃ &gt; 0) và/hoặc điều tiết độ cong (β₄, β₅).</w:t>
      </w:r>
      <w:r>
        <w:t xml:space="preserve"> </w:t>
      </w:r>
      <w:r>
        <w:t xml:space="preserve">Kỳ vọng chính: β₃ &gt; 0 (hiệu ứng TCI trực tiếp).</w:t>
      </w:r>
      <w:r>
        <w:t xml:space="preserve"> </w:t>
      </w:r>
      <w:r>
        <w:t xml:space="preserve">Kiểm định: F-test (β₄ = β₅ = 0) = kiểm định joint moderation; nếu p &gt; 0,10 dẫn đến TCI là nâng mặt bằng thuần túy.</w:t>
      </w:r>
    </w:p>
    <w:bookmarkEnd w:id="68"/>
    <w:bookmarkStart w:id="69" w:name="m4---điều-tiết-dai-kiểm-định-h3"/>
    <w:p>
      <w:pPr>
        <w:pStyle w:val="Heading5"/>
      </w:pPr>
      <w:r>
        <w:t xml:space="preserve">M4 — + Điều tiết DAI (kiểm định H3)</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\mathrm{DAI}</w:t>
      </w:r>
      <w:r>
        <w:rPr>
          <w:iCs/>
          <w:i/>
        </w:rPr>
        <w:t xml:space="preserve">i + \beta_4 \cdot (\mathit{FSTS}</w:t>
      </w:r>
      <w:r>
        <w:t xml:space="preserve">{c,i} \times \mathrm{DAI}</w:t>
      </w:r>
      <w:r>
        <w:rPr>
          <w:iCs/>
          <w:i/>
        </w:rPr>
        <w:t xml:space="preserve">i) + \beta_5 \cdot (\mathit{FSTS}</w:t>
      </w:r>
      <w:r>
        <w:t xml:space="preserve">{c,i}^{2} \times \mathrm{DAI}_i) \notag \</w:t>
      </w:r>
      <w:r>
        <w:t xml:space="preserve"> </w:t>
      </w:r>
      <w:r>
        <w:t xml:space="preserve">&amp;\quad + \boldsymbol{\gamma}'\mathbf{X}_i + \alpha_j + \delta_t + \varepsilon_i</w:t>
      </w:r>
      <w:r>
        <w:t xml:space="preserve"> </w:t>
      </w:r>
      <w:r>
        <w:t xml:space="preserve">\label{eq:M4}</w:t>
      </w:r>
      <w:r>
        <w:t xml:space="preserve"> </w:t>
      </w:r>
      <w:r>
        <w:t xml:space="preserve">\end{align}</w:t>
      </w:r>
    </w:p>
    <w:p>
      <w:pPr>
        <w:pStyle w:val="BodyText"/>
      </w:pPr>
      <w:r>
        <w:t xml:space="preserve">Mục đích: kiểm định H3, tức DAI là nguồn lực mở rộng tình huống.</w:t>
      </w:r>
      <w:r>
        <w:t xml:space="preserve"> </w:t>
      </w:r>
      <w:r>
        <w:t xml:space="preserve">Kỳ vọng: β₅(FSTS²×DAI) &gt; 0 trong Nhóm I (nhất quán P4 Singapore +3,119); β₃(DAI trực tiếp) dẫn đến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06f71524788155e2ebf216bcee5f2e32a6c0cd5"/>
    <w:p>
      <w:pPr>
        <w:pStyle w:val="Heading5"/>
      </w:pPr>
      <w:r>
        <w:t xml:space="preserve">M5 — + Điều tiết nhà quản trị (kiểm định H4a/H4b/H4c)</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\beta_3 \cdot \mathit{Manager}</w:t>
      </w:r>
      <w:r>
        <w:rPr>
          <w:iCs/>
          <w:i/>
        </w:rPr>
        <w:t xml:space="preserve">i + \beta_4 \cdot (\mathit{FSTS}</w:t>
      </w:r>
      <w:r>
        <w:t xml:space="preserve">{c,i} \times \mathit{Manager}_i) \notag \</w:t>
      </w:r>
      <w:r>
        <w:t xml:space="preserve"> </w:t>
      </w:r>
      <w:r>
        <w:t xml:space="preserve">&amp;\quad + \boldsymbol{\gamma}'\mathbf{X}_i + \alpha_j + \delta_t + \varepsilon_i</w:t>
      </w:r>
      <w:r>
        <w:t xml:space="preserve"> </w:t>
      </w:r>
      <w:r>
        <w:t xml:space="preserve">\label{eq:M5}</w:t>
      </w:r>
      <w:r>
        <w:t xml:space="preserve"> </w:t>
      </w:r>
      <w:r>
        <w:t xml:space="preserve">\end{align}</w:t>
      </w:r>
    </w:p>
    <w:p>
      <w:pPr>
        <w:pStyle w:val="BodyText"/>
      </w:pPr>
      <w:r>
        <w:t xml:space="preserve">Biến Manager theo thứ tự ưu tiên: exp_manager (b5, H4a), biến chính với kỳ vọng β₄ &gt; 0; educ_manager (b7a, H4b), biến phụ với kỳ vọng β₄ &gt; 0; gender_manager (b7, H4c), khám phá, kiểm định two-sided.</w:t>
      </w:r>
      <w:r>
        <w:t xml:space="preserve"> </w:t>
      </w:r>
      <w:r>
        <w:t xml:space="preserve">Kỳ vọng: β₄(FSTS×exp_manager) &gt; 0 [H4a]; β₄(FSTS×educ_manager) &gt; 0 [H4b]; β₄(FSTS×gender_manager), không có kỳ vọng tiên nghiệm [H4c].</w:t>
      </w:r>
    </w:p>
    <w:bookmarkEnd w:id="70"/>
    <w:bookmarkStart w:id="71" w:name="m6---chế-độ-thể-chế-icrv-kiểm-định-h5"/>
    <w:p>
      <w:pPr>
        <w:pStyle w:val="Heading5"/>
      </w:pPr>
      <w:r>
        <w:t xml:space="preserve">M6 — + Chế độ thể chế ICRV (kiểm định H5)</w:t>
      </w:r>
    </w:p>
    <w:p>
      <w:pPr>
        <w:pStyle w:val="FirstParagraph"/>
      </w:pPr>
      <w:r>
        <w:t xml:space="preserve">\begin{align}</w:t>
      </w:r>
      <w:r>
        <w:t xml:space="preserve"> </w:t>
      </w:r>
      <w:r>
        <w:t xml:space="preserve">\ln(\mathrm{LP})</w:t>
      </w:r>
      <w:r>
        <w:rPr>
          <w:iCs/>
          <w:i/>
        </w:rPr>
        <w:t xml:space="preserve">i &amp;= \underbrace{\text{M1}}</w:t>
      </w:r>
      <w:r>
        <w:t xml:space="preserve">{\text{cơ sở}} \notag \</w:t>
      </w:r>
      <w:r>
        <w:t xml:space="preserve"> </w:t>
      </w:r>
      <w:r>
        <w:t xml:space="preserve">&amp;\quad + \sum_{j=2}^{6} \Bigl[\beta_{3j} \cdot \mathrm{ICRV}</w:t>
      </w:r>
      <w:r>
        <w:rPr>
          <w:iCs/>
          <w:i/>
        </w:rPr>
        <w:t xml:space="preserve">{j,i}</w:t>
      </w:r>
      <w:r>
        <w:rPr>
          <w:iCs/>
          <w:i/>
        </w:rPr>
        <w:t xml:space="preserve"> </w:t>
      </w:r>
      <w:r>
        <w:rPr>
          <w:iCs/>
          <w:i/>
        </w:rPr>
        <w:t xml:space="preserve">+ \beta</w:t>
      </w:r>
      <w:r>
        <w:t xml:space="preserve">{4j} \cdot (\mathit{FSTS}</w:t>
      </w:r>
      <w:r>
        <w:rPr>
          <w:iCs/>
          <w:i/>
        </w:rPr>
        <w:t xml:space="preserve">{c,i} \times \mathrm{ICRV}</w:t>
      </w:r>
      <w:r>
        <w:t xml:space="preserve">{j,i})</w:t>
      </w:r>
      <w:r>
        <w:t xml:space="preserve"> </w:t>
      </w:r>
      <w:r>
        <w:t xml:space="preserve">+ \beta_{5j} \cdot (\mathit{FSTS}</w:t>
      </w:r>
      <w:r>
        <w:rPr>
          <w:iCs/>
          <w:i/>
        </w:rPr>
        <w:t xml:space="preserve">{c,i}^{2} \times \mathrm{ICRV}</w:t>
      </w:r>
      <w:r>
        <w:t xml:space="preserve">{j,i})\Bigr] \notag \</w:t>
      </w:r>
      <w:r>
        <w:t xml:space="preserve"> </w:t>
      </w:r>
      <w:r>
        <w:t xml:space="preserve">&amp;\quad + \boldsymbol{\gamma}'\mathbf{X}_i + \delta_t + \varepsilon_i</w:t>
      </w:r>
      <w:r>
        <w:t xml:space="preserve"> </w:t>
      </w:r>
      <w:r>
        <w:t xml:space="preserve">\label{eq:M6}</w:t>
      </w:r>
      <w:r>
        <w:t xml:space="preserve"> </w:t>
      </w:r>
      <w:r>
        <w:t xml:space="preserve">\end{align}</w:t>
      </w:r>
    </w:p>
    <w:p>
      <w:pPr>
        <w:pStyle w:val="BodyText"/>
      </w:pPr>
      <w:r>
        <w:t xml:space="preserve">Mục đích: kiểm định H5, gradient ICRV và gánh nặng tắt buộc (Nhóm VI).</w:t>
      </w:r>
      <w:r>
        <w:t xml:space="preserve"> </w:t>
      </w:r>
      <w:r>
        <w:t xml:space="preserve">Nhóm tham chiếu: Nhóm I (tiên tiến đổi mới).</w:t>
      </w:r>
      <w:r>
        <w:t xml:space="preserve"> </w:t>
      </w:r>
      <w:r>
        <w:t xml:space="preserve">Kỳ vọng: điểm uốn giảm dần theo j (Nhóm II dẫn đến III dẫn đến IV dẫn đến V dẫn đến VI); Nhóm VI có β(FSTS×ICRV_VI) ≤ 0.</w:t>
      </w:r>
      <w:r>
        <w:t xml:space="preserve"> </w:t>
      </w:r>
      <w:r>
        <w:t xml:space="preserve">Lưu ý: Country FE bị omit trong M6 do ICRV_j là biến cấp quốc gia bất biến theo thời gian, thay bằng Year FE + Region FE (6 vùng).</w:t>
      </w:r>
    </w:p>
    <w:bookmarkEnd w:id="71"/>
    <w:bookmarkStart w:id="72" w:name="Xebd9fe0b896b483deed6e741eae4457341bd110"/>
    <w:p>
      <w:pPr>
        <w:pStyle w:val="Heading5"/>
      </w:pPr>
      <w:r>
        <w:t xml:space="preserve">M7, Điều tiết ba chiều tổng lực (kiểm định H2 + H3 + H6 đồng thời)</w:t>
      </w:r>
    </w:p>
    <w:p>
      <w:pPr>
        <w:pStyle w:val="FirstParagraph"/>
      </w:pPr>
      <w:r>
        <w:t xml:space="preserve">\begin{align}</w:t>
      </w:r>
      <w:r>
        <w:t xml:space="preserve"> </w:t>
      </w:r>
      <w:r>
        <w:t xml:space="preserve">\ln(\mathrm{LP})</w:t>
      </w:r>
      <w:r>
        <w:rPr>
          <w:iCs/>
          <w:i/>
        </w:rPr>
        <w:t xml:space="preserve">i</w:t>
      </w:r>
      <w:r>
        <w:rPr>
          <w:iCs/>
          <w:i/>
        </w:rPr>
        <w:t xml:space="preserve"> </w:t>
      </w:r>
      <w:r>
        <w:rPr>
          <w:iCs/>
          <w:i/>
        </w:rPr>
        <w:t xml:space="preserve">&amp;= \beta_0 + \beta_1,\mathit{FSTS}</w:t>
      </w:r>
      <w:r>
        <w:t xml:space="preserve">{c,i} + \beta_2,\mathit{FSTS}</w:t>
      </w:r>
      <w:r>
        <w:rPr>
          <w:iCs/>
          <w:i/>
        </w:rPr>
        <w:t xml:space="preserve">{c,i}^{2}</w:t>
      </w:r>
      <w:r>
        <w:rPr>
          <w:iCs/>
          <w:i/>
        </w:rPr>
        <w:t xml:space="preserve"> </w:t>
      </w:r>
      <w:r>
        <w:rPr>
          <w:iCs/>
          <w:i/>
        </w:rPr>
        <w:t xml:space="preserve">+ \beta_3,\mathrm{TCI}</w:t>
      </w:r>
      <w:r>
        <w:rPr>
          <w:iCs/>
          <w:i/>
          <w:iCs/>
          <w:i/>
        </w:rPr>
        <w:t xml:space="preserve">i + \beta_4,\mathrm{DAI}</w:t>
      </w:r>
      <w:r>
        <w:rPr>
          <w:iCs/>
          <w:i/>
          <w:iCs/>
          <w:i/>
          <w:iCs/>
          <w:i/>
        </w:rPr>
        <w:t xml:space="preserve">i \notag \</w:t>
      </w:r>
      <w:r>
        <w:rPr>
          <w:iCs/>
          <w:i/>
          <w:iCs/>
          <w:i/>
          <w:iCs/>
          <w:i/>
        </w:rPr>
        <w:t xml:space="preserve"> </w:t>
      </w:r>
      <w:r>
        <w:rPr>
          <w:iCs/>
          <w:i/>
          <w:iCs/>
          <w:i/>
          <w:iCs/>
          <w:i/>
        </w:rPr>
        <w:t xml:space="preserve">&amp;\quad + \beta_5,(\mathit{FSTS}</w:t>
      </w:r>
      <w:r>
        <w:rPr>
          <w:iCs/>
          <w:i/>
          <w:iCs/>
          <w:i/>
        </w:rPr>
        <w:t xml:space="preserve">{c,i} \times \mathrm{TCI}</w:t>
      </w:r>
      <w:r>
        <w:rPr>
          <w:iCs/>
          <w:i/>
          <w:iCs/>
          <w:i/>
          <w:iCs/>
          <w:i/>
        </w:rPr>
        <w:t xml:space="preserve">i)</w:t>
      </w:r>
      <w:r>
        <w:rPr>
          <w:iCs/>
          <w:i/>
          <w:iCs/>
          <w:i/>
          <w:iCs/>
          <w:i/>
        </w:rPr>
        <w:t xml:space="preserve"> </w:t>
      </w:r>
      <w:r>
        <w:rPr>
          <w:iCs/>
          <w:i/>
          <w:iCs/>
          <w:i/>
          <w:iCs/>
          <w:i/>
        </w:rPr>
        <w:t xml:space="preserve">+ \beta_6,(\mathit{FSTS}</w:t>
      </w:r>
      <w:r>
        <w:rPr>
          <w:iCs/>
          <w:i/>
          <w:iCs/>
          <w:i/>
        </w:rPr>
        <w:t xml:space="preserve">{c,i}^{2} \times \mathrm{TCI}</w:t>
      </w:r>
      <w:r>
        <w:rPr>
          <w:iCs/>
          <w:i/>
          <w:iCs/>
          <w:i/>
          <w:iCs/>
          <w:i/>
        </w:rPr>
        <w:t xml:space="preserve">i) \notag \</w:t>
      </w:r>
      <w:r>
        <w:rPr>
          <w:iCs/>
          <w:i/>
          <w:iCs/>
          <w:i/>
          <w:iCs/>
          <w:i/>
        </w:rPr>
        <w:t xml:space="preserve"> </w:t>
      </w:r>
      <w:r>
        <w:rPr>
          <w:iCs/>
          <w:i/>
          <w:iCs/>
          <w:i/>
          <w:iCs/>
          <w:i/>
        </w:rPr>
        <w:t xml:space="preserve">&amp;\quad + \beta_7,(\mathit{FSTS}</w:t>
      </w:r>
      <w:r>
        <w:rPr>
          <w:iCs/>
          <w:i/>
          <w:iCs/>
          <w:i/>
        </w:rPr>
        <w:t xml:space="preserve">{c,i} \times \mathrm{DAI}</w:t>
      </w:r>
      <w:r>
        <w:rPr>
          <w:iCs/>
          <w:i/>
          <w:iCs/>
          <w:i/>
          <w:iCs/>
          <w:i/>
        </w:rPr>
        <w:t xml:space="preserve">i)</w:t>
      </w:r>
      <w:r>
        <w:rPr>
          <w:iCs/>
          <w:i/>
          <w:iCs/>
          <w:i/>
          <w:iCs/>
          <w:i/>
        </w:rPr>
        <w:t xml:space="preserve"> </w:t>
      </w:r>
      <w:r>
        <w:rPr>
          <w:iCs/>
          <w:i/>
          <w:iCs/>
          <w:i/>
          <w:iCs/>
          <w:i/>
        </w:rPr>
        <w:t xml:space="preserve">+ \beta_8,(\mathit{FSTS}</w:t>
      </w:r>
      <w:r>
        <w:rPr>
          <w:iCs/>
          <w:i/>
          <w:iCs/>
          <w:i/>
        </w:rPr>
        <w:t xml:space="preserve">{c,i}^{2} \times \mathrm{DAI}</w:t>
      </w:r>
      <w:r>
        <w:rPr>
          <w:iCs/>
          <w:i/>
          <w:iCs/>
          <w:i/>
          <w:iCs/>
          <w:i/>
        </w:rPr>
        <w:t xml:space="preserve">i) \notag \</w:t>
      </w:r>
      <w:r>
        <w:rPr>
          <w:iCs/>
          <w:i/>
          <w:iCs/>
          <w:i/>
          <w:iCs/>
          <w:i/>
        </w:rPr>
        <w:t xml:space="preserve"> </w:t>
      </w:r>
      <w:r>
        <w:rPr>
          <w:iCs/>
          <w:i/>
          <w:iCs/>
          <w:i/>
          <w:iCs/>
          <w:i/>
        </w:rPr>
        <w:t xml:space="preserve">&amp;\quad + \beta_9,(\mathit{FSTS}</w:t>
      </w:r>
      <w:r>
        <w:rPr>
          <w:iCs/>
          <w:i/>
          <w:iCs/>
          <w:i/>
        </w:rPr>
        <w:t xml:space="preserve">{c,i} \times \mathrm{TCI}</w:t>
      </w:r>
      <w:r>
        <w:rPr>
          <w:iCs/>
          <w:i/>
          <w:iCs/>
          <w:i/>
          <w:iCs/>
          <w:i/>
        </w:rPr>
        <w:t xml:space="preserve">i \times \mathrm{DAI}</w:t>
      </w:r>
      <w:r>
        <w:rPr>
          <w:iCs/>
          <w:i/>
          <w:iCs/>
          <w:i/>
          <w:iCs/>
          <w:i/>
          <w:iCs/>
          <w:i/>
        </w:rPr>
        <w:t xml:space="preserve">i) \notag \</w:t>
      </w:r>
      <w:r>
        <w:rPr>
          <w:iCs/>
          <w:i/>
          <w:iCs/>
          <w:i/>
          <w:iCs/>
          <w:i/>
          <w:iCs/>
          <w:i/>
        </w:rPr>
        <w:t xml:space="preserve"> </w:t>
      </w:r>
      <w:r>
        <w:rPr>
          <w:iCs/>
          <w:i/>
          <w:iCs/>
          <w:i/>
          <w:iCs/>
          <w:i/>
          <w:iCs/>
          <w:i/>
        </w:rPr>
        <w:t xml:space="preserve">&amp;\quad + \beta</w:t>
      </w:r>
      <w:r>
        <w:rPr>
          <w:iCs/>
          <w:i/>
          <w:iCs/>
          <w:i/>
          <w:iCs/>
          <w:i/>
        </w:rPr>
        <w:t xml:space="preserve">{10},(\mathit{FSTS}</w:t>
      </w:r>
      <w:r>
        <w:rPr>
          <w:iCs/>
          <w:i/>
          <w:iCs/>
          <w:i/>
        </w:rPr>
        <w:t xml:space="preserve">{c,i} \times YB</w:t>
      </w:r>
      <w:r>
        <w:rPr>
          <w:iCs/>
          <w:i/>
        </w:rPr>
        <w:t xml:space="preserve">{2013\text{-}17,i})</w:t>
      </w:r>
      <w:r>
        <w:rPr>
          <w:iCs/>
          <w:i/>
        </w:rPr>
        <w:t xml:space="preserve"> </w:t>
      </w:r>
      <w:r>
        <w:rPr>
          <w:iCs/>
          <w:i/>
        </w:rPr>
        <w:t xml:space="preserve">+ \beta</w:t>
      </w:r>
      <w:r>
        <w:t xml:space="preserve">{11},(\mathit{FSTS}</w:t>
      </w:r>
      <w:r>
        <w:rPr>
          <w:iCs/>
          <w:i/>
        </w:rPr>
        <w:t xml:space="preserve">{c,i}^{2} \times YB</w:t>
      </w:r>
      <w:r>
        <w:t xml:space="preserve">{2013\text{-}17,i}) \notag \</w:t>
      </w:r>
      <w:r>
        <w:t xml:space="preserve"> </w:t>
      </w:r>
      <w:r>
        <w:t xml:space="preserve">&amp;\quad + \beta_{12},(\mathit{FSTS}</w:t>
      </w:r>
      <w:r>
        <w:rPr>
          <w:iCs/>
          <w:i/>
        </w:rPr>
        <w:t xml:space="preserve">{c,i} \times YB</w:t>
      </w:r>
      <w:r>
        <w:t xml:space="preserve">{2018\text{-}25,i})</w:t>
      </w:r>
      <w:r>
        <w:t xml:space="preserve"> </w:t>
      </w:r>
      <w:r>
        <w:t xml:space="preserve">+ \beta_{13},(\mathit{FSTS}</w:t>
      </w:r>
      <w:r>
        <w:rPr>
          <w:iCs/>
          <w:i/>
        </w:rPr>
        <w:t xml:space="preserve">{c,i}^{2} \times YB</w:t>
      </w:r>
      <w:r>
        <w:t xml:space="preserve">{2018\text{-}25,i}) \notag \</w:t>
      </w:r>
      <w:r>
        <w:t xml:space="preserve"> </w:t>
      </w:r>
      <w:r>
        <w:t xml:space="preserve">&amp;\quad + \boldsymbol{\gamma}'\mathbf{X}_i + \alpha_j + \delta_t + \varepsilon_i</w:t>
      </w:r>
      <w:r>
        <w:t xml:space="preserve"> </w:t>
      </w:r>
      <w:r>
        <w:t xml:space="preserve">\label{eq:M7}</w:t>
      </w:r>
      <w:r>
        <w:t xml:space="preserve"> </w:t>
      </w:r>
      <w:r>
        <w:t xml:space="preserve">\end{align}</w:t>
      </w:r>
    </w:p>
    <w:p>
      <w:pPr>
        <w:pStyle w:val="BodyText"/>
      </w:pPr>
      <w:r>
        <w:t xml:space="preserve">trong đó X_i gồm: ln_employees, firm_age, foreign_own (≥10%),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 β₈(FSTS²×DAI) &gt; 0 trong Nhóm I; β₃(TCI) &gt; 0; β₁₂/β₁₃ ≠ β₁₀/β₁₁ (dịch chuyển thời gian).</w:t>
      </w:r>
      <w:r>
        <w:t xml:space="preserve"> </w:t>
      </w:r>
      <w:r>
        <w:t xml:space="preserve">Yêu cầu mẫu: với k = 13 tham số trọng tâm + controls, n ≥ 5.000 cần thiết cho power &gt; 0,80 tại f² = 0,02, dễ dàng đáp ứng với pool 101.185.</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w:r>
              <w:t xml:space="preserve">β₁ &gt; 0</w:t>
            </w:r>
          </w:p>
        </w:tc>
      </w:tr>
      <w:tr>
        <w:tc>
          <w:tcPr/>
          <w:p>
            <w:pPr>
              <w:pStyle w:val="Compact"/>
              <w:jc w:val="left"/>
            </w:pPr>
            <w:r>
              <w:t xml:space="preserve">M1</w:t>
            </w:r>
          </w:p>
        </w:tc>
        <w:tc>
          <w:tcPr/>
          <w:p>
            <w:pPr>
              <w:pStyle w:val="Compact"/>
              <w:jc w:val="left"/>
            </w:pPr>
            <w:r>
              <w:t xml:space="preserve">+ FSTS²</w:t>
            </w:r>
          </w:p>
        </w:tc>
        <w:tc>
          <w:tcPr/>
          <w:p>
            <w:pPr>
              <w:pStyle w:val="Compact"/>
              <w:jc w:val="left"/>
            </w:pPr>
            <w:r>
              <w:t xml:space="preserve">H1 (chữ U ngược)</w:t>
            </w:r>
          </w:p>
        </w:tc>
        <w:tc>
          <w:tcPr/>
          <w:p>
            <w:pPr>
              <w:pStyle w:val="Compact"/>
              <w:jc w:val="left"/>
            </w:pPr>
            <w:r>
              <w:t xml:space="preserve">β₂ &lt; 0; Lind–Mehlum</w:t>
            </w:r>
          </w:p>
        </w:tc>
      </w:tr>
      <w:tr>
        <w:tc>
          <w:tcPr/>
          <w:p>
            <w:pPr>
              <w:pStyle w:val="Compact"/>
              <w:jc w:val="left"/>
            </w:pPr>
            <w:r>
              <w:t xml:space="preserve">M2</w:t>
            </w:r>
          </w:p>
        </w:tc>
        <w:tc>
          <w:tcPr/>
          <w:p>
            <w:pPr>
              <w:pStyle w:val="Compact"/>
              <w:jc w:val="left"/>
            </w:pPr>
            <w:r>
              <w:t xml:space="preserve">+ FSTS³</w:t>
            </w:r>
          </w:p>
        </w:tc>
        <w:tc>
          <w:tcPr/>
          <w:p>
            <w:pPr>
              <w:pStyle w:val="Compact"/>
              <w:jc w:val="left"/>
            </w:pPr>
            <w:r>
              <w:t xml:space="preserve">H1 (S-curve)</w:t>
            </w:r>
          </w:p>
        </w:tc>
        <w:tc>
          <w:tcPr/>
          <w:p>
            <w:pPr>
              <w:pStyle w:val="Compact"/>
              <w:jc w:val="left"/>
            </w:pPr>
            <w:r>
              <w:t xml:space="preserve">β₃ &gt; 0; F-test β₃ = 0</w:t>
            </w:r>
          </w:p>
        </w:tc>
      </w:tr>
      <w:tr>
        <w:tc>
          <w:tcPr/>
          <w:p>
            <w:pPr>
              <w:pStyle w:val="Compact"/>
              <w:jc w:val="left"/>
            </w:pPr>
            <w:r>
              <w:t xml:space="preserve">M3</w:t>
            </w:r>
          </w:p>
        </w:tc>
        <w:tc>
          <w:tcPr/>
          <w:p>
            <w:pPr>
              <w:pStyle w:val="Compact"/>
              <w:jc w:val="left"/>
            </w:pPr>
            <w:r>
              <w:t xml:space="preserve">+ TCI, FSTS×TCI, FSTS²×TCI</w:t>
            </w:r>
          </w:p>
        </w:tc>
        <w:tc>
          <w:tcPr/>
          <w:p>
            <w:pPr>
              <w:pStyle w:val="Compact"/>
              <w:jc w:val="left"/>
            </w:pPr>
            <w:r>
              <w:t xml:space="preserve">H2</w:t>
            </w:r>
          </w:p>
        </w:tc>
        <w:tc>
          <w:tcPr/>
          <w:p>
            <w:pPr>
              <w:pStyle w:val="Compact"/>
              <w:jc w:val="left"/>
            </w:pPr>
            <w:r>
              <w:t xml:space="preserve">β₃ &gt; 0; F-test (β₄ = β₅ = 0)</w:t>
            </w:r>
          </w:p>
        </w:tc>
      </w:tr>
      <w:tr>
        <w:tc>
          <w:tcPr/>
          <w:p>
            <w:pPr>
              <w:pStyle w:val="Compact"/>
              <w:jc w:val="left"/>
            </w:pPr>
            <w:r>
              <w:t xml:space="preserve">M4</w:t>
            </w:r>
          </w:p>
        </w:tc>
        <w:tc>
          <w:tcPr/>
          <w:p>
            <w:pPr>
              <w:pStyle w:val="Compact"/>
              <w:jc w:val="left"/>
            </w:pPr>
            <w:r>
              <w:t xml:space="preserve">+ DAI, FSTS×DAI, FSTS²×DAI</w:t>
            </w:r>
          </w:p>
        </w:tc>
        <w:tc>
          <w:tcPr/>
          <w:p>
            <w:pPr>
              <w:pStyle w:val="Compact"/>
              <w:jc w:val="left"/>
            </w:pPr>
            <w:r>
              <w:t xml:space="preserve">H3a/H3b</w:t>
            </w:r>
          </w:p>
        </w:tc>
        <w:tc>
          <w:tcPr/>
          <w:p>
            <w:pPr>
              <w:pStyle w:val="Compact"/>
              <w:jc w:val="left"/>
            </w:pPr>
            <w:r>
              <w:t xml:space="preserve">H3a: β(FSTS×DAI) &gt; 0 Nhóm III–V; H3b: β(FSTS²×DAI) &gt; 0 ở FSTS cao Nhóm I</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 β₄(FSTS×exp) &gt; 0; H4b: β₄(FSTS×educ) &gt; 0; H4c: two-sided</w:t>
            </w:r>
          </w:p>
        </w:tc>
      </w:tr>
      <w:tr>
        <w:tc>
          <w:tcPr/>
          <w:p>
            <w:pPr>
              <w:pStyle w:val="Compact"/>
              <w:jc w:val="left"/>
            </w:pPr>
            <w:r>
              <w:t xml:space="preserve">M6</w:t>
            </w:r>
          </w:p>
        </w:tc>
        <w:tc>
          <w:tcPr/>
          <w:p>
            <w:pPr>
              <w:pStyle w:val="Compact"/>
              <w:jc w:val="left"/>
            </w:pPr>
            <w:r>
              <w:t xml:space="preserve">+ ICRV_j × FSTS, ICRV_j × FSTS²</w:t>
            </w:r>
          </w:p>
        </w:tc>
        <w:tc>
          <w:tcPr/>
          <w:p>
            <w:pPr>
              <w:pStyle w:val="Compact"/>
              <w:jc w:val="left"/>
            </w:pPr>
            <w:r>
              <w:t xml:space="preserve">H5</w:t>
            </w:r>
          </w:p>
        </w:tc>
        <w:tc>
          <w:tcPr/>
          <w:p>
            <w:pPr>
              <w:pStyle w:val="Compact"/>
              <w:jc w:val="left"/>
            </w:pPr>
            <w:r>
              <w:t xml:space="preserve">Gradient TP; gánh nặng tắt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Xe1509b929c4d29ab07808a468654fc0b0b85d99"/>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Mục 2.4.2)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 FSTS².</w:t>
      </w:r>
    </w:p>
    <w:p>
      <w:pPr>
        <w:pStyle w:val="BodyText"/>
      </w:pPr>
      <w:r>
        <w:t xml:space="preserve">Bảng 2.9. Đo lường TCI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nhất quán với tổng hợp formative, Coltman et al., 2008).</w:t>
      </w:r>
    </w:p>
    <w:p>
      <w:pPr>
        <w:pStyle w:val="BodyText"/>
      </w:pPr>
      <w:r>
        <w:t xml:space="preserve">Bảng 2.10. Đo lường DAI theo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tắt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P8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±15% trong ≥3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bác bỏ H₀ dẫn đến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Nếu hình dạng visual nhất quán với chữ U ngược thì kết quả này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X784a621f97d84d1234604adf730450e02e3ef35"/>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 sáu nhóm.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 ROS; (b) Biến độc lập →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 không tìm thấy phi tuyến; (b) Thay TCI bằng nhiễu →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 "xác nhận mạnh". Nếu chỉ 2–3/6 nhóm nhất quán, kết quả là "hỗ trợ có điều kiện". Nếu &lt; 2/6 nhóm nhất quán, kết quả cần tái xem xét và không được tuyên bố giả thuyết được xác nhận.</w:t>
      </w:r>
    </w:p>
    <w:bookmarkEnd w:id="80"/>
    <w:bookmarkStart w:id="84" w:name="X0dab72e42c14670f7b3d769166e27ff618c9551"/>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văn liệu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năng lực mà các mô hình đơn lý thuyết không có.</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vốn chưa có trong văn liệu.</w:t>
      </w:r>
    </w:p>
    <w:p>
      <w:pPr>
        <w:pStyle w:val="BodyText"/>
      </w:pPr>
      <w:r>
        <w:t xml:space="preserve">Đóng góp 3: Phân loại nhánh Advanced thành Nhóm I và Nhóm II. Phát hiện từ phân tích mô tả về tính không đồng nhất trong Advanced, gồm Nhóm I (tiên tiến đổi mới: Singapore, Korea, HK, Đài Loan) so với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tắt buộc trong khung I→P. Dạng hàm forced penalty (SIDS Nhóm VI) được tích hợp vào H5 như trường hợp cực đoan của gradient thể chế: SIDS không có chữ U ngược điển hình do quốc tế hóa bắt buộc (Briguglio, 1995). Tích hợp này mở rộng văn liệu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văn liệu châu Á kiểm định đồng thời I×TCI×DAI điều tiết ba chiều kết hợp với tính không đồng nhất thời gian, cho phép kiểm tra xem TCI và DAI là bổ sung hay thay thế trong điều tiết I→P.</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văn liệu I→P cho châu Á. Bằng chứng từ P3 Việt Nam và P5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tức tăng cường năng lực điều phối thay vì chỉ tăng tỉ lệ xuất khẩu.</w:t>
      </w:r>
    </w:p>
    <w:p>
      <w:pPr>
        <w:pStyle w:val="BodyText"/>
      </w:pPr>
      <w:r>
        <w:t xml:space="preserve">DAI phát huy mạnh khi FSTS cao và môi trường thể chế tốt: Nhóm I (Singapore) cho thấy DAI×FSTS² =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tắt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89" w:name="X3e03e0a730be87d669f079340c35b479d0b1a1b"/>
    <w:p>
      <w:pPr>
        <w:pStyle w:val="Heading3"/>
      </w:pPr>
      <w:r>
        <w:t xml:space="preserve">2.4 Kết luận và đề xuất</w:t>
      </w:r>
    </w:p>
    <w:bookmarkStart w:id="86" w:name="X2348ba230572cbe65b0d5b739c22f4e83186482"/>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gồm Uppsala, RBV, Institutional Theory, Upper Echelons, và Foundational Digital Adoption Framework. Năm tầng này được hiện thực hóa thành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xác nhận tính khả nghiệm của khung đề xuất trước khi áp dụng cho toàn pool.</w:t>
      </w:r>
    </w:p>
    <w:p>
      <w:pPr>
        <w:pStyle w:val="BodyText"/>
      </w:pPr>
      <w:r>
        <w:t xml:space="preserve">Kết quả dự kiến từ bằng chứng neo đậu được tóm tắt theo từng giả thuyết. H1 (phi tuyến) xác nhận chữ U ngược ở hầu hết nhóm ICRV với gradient điểm uốn từ Nhóm I đến Nhóm VI. H2 (TCI nâng mặt bằng) cho thấy TCI dương bền vững và nhân quả. H3a (DAI Emerging/Frontier) mang tính khám phá; H3b (DAI Advanced) β(FSTS²×DAI) dương trong Nhóm I (P4 xác nhận), null/phụ thuộc chọn lựa trong Nhóm IV (P3 IV null). H4a (Kinh nghiệm QL) exp_manager×FSTS dương; H4b (Học vấn QL) educ_manager×FSTS dương; H4c (Giới tính) exploratory. H5 (ICRV gradient) cho thấy điểm uốn gradient từ Nhóm I đến VI, với Nhóm VI mang gánh nặng tắt buộc. H6 (Thời gian) cho thấy DAI dịch chuyển 2009→2023 và TCI tăng cường theo thời gian.</w:t>
      </w:r>
    </w:p>
    <w:p>
      <w:pPr>
        <w:pStyle w:val="BodyText"/>
      </w:pPr>
      <w:r>
        <w:t xml:space="preserve">Đóng góp trung tâm là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d817586c1cd13f8a893b8cdf4a29f85d5fe00a8"/>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bao gồm tích hợp ERP, triển khai AI, và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ba hướng tiếp cận. Hướng (i) dùng biến công cụ dựa trên tỷ lệ áp dụng trung bình ngành × vùng × sóng như IV cho TCI và DAI (chiến lược đã áp dụng thành công trong P3 với first-stage F = 22–35, vượt ngưỡng Staiger–Stock). Hướng (ii) thiết kế difference-in-differences khai thác các cú sốc chính sách ngoại sinh (ví dụ: CPTPP 2018, chiến tranh thương mại Mỹ-Trung 2018-2019) như ranh giới thực nghiệm tự nhiên. Hướng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về panel meta-analysis; Borenstein et al. (2021) về Bayesian meta-regression với thông tin tiền nghiệm. Về mở rộng bậc số hóa: Verhoef et al. (2021) về phân cấp Tier 1–4. Về mở rộng quốc tế hóa đa chiều: Contractor et al. (2003); Sullivan (1994) về DOI composite.</w:t>
      </w:r>
    </w:p>
    <w:p>
      <w:r>
        <w:pict>
          <v:rect style="width:0;height:1.5pt" o:hralign="center" o:hrstd="t" o:hr="t"/>
        </w:pict>
      </w:r>
    </w:p>
    <w:bookmarkEnd w:id="87"/>
    <w:bookmarkStart w:id="88" w:name="Xc14c8adf4a1440a86a0b4da5fa92c77edd50b1b"/>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 P6: Tổng quan định lượng ba tầng (three-level MARA, IBR under review):</w:t>
      </w:r>
      <w:r>
        <w:t xml:space="preserve"> </w:t>
      </w:r>
      <w:r>
        <w:t xml:space="preserve">Bản thảo P6 đã hoàn thành, mở rộng ICBEF 2025 baseline (Đỗ &amp; Phan, 2024, k=113) lên</w:t>
      </w:r>
      <w:r>
        <w:t xml:space="preserve"> </w:t>
      </w:r>
      <w:r>
        <w:rPr>
          <w:bCs/>
          <w:b/>
        </w:rPr>
        <w:t xml:space="preserve">k=238</w:t>
      </w:r>
      <w:r>
        <w:t xml:space="preserve"> </w:t>
      </w:r>
      <w:r>
        <w:t xml:space="preserve">(K=288 effect sizes, 49 nền kinh tế) với hệ thống tìm kiếm PRISMA 2020 trên Web of Science + Scopus (1977–2026). Ba biến điều tiết mới gồm: (i) cDAI, mức độ số hóa cấp quốc gia; (ii) ICRV 6 nhóm; (iii) DPL phase. Kết quả MARA xác nhận: pooled</w:t>
      </w:r>
      <w:r>
        <w:t xml:space="preserve"> </w:t>
      </w:r>
      <w:r>
        <w:rPr>
          <w:iCs/>
          <w:i/>
        </w:rPr>
        <w:t xml:space="preserve">r</w:t>
      </w:r>
      <w:r>
        <w:t xml:space="preserve">=0,074 (CI [0,060; 0,088]), I²=62,4%; ICRV Q_M=17,35 (p=.002), tức H1 điều tiết thể chế được hỗ trợ; cDAI và DPL không có ý nghĩa (H2, H3 không được hỗ trợ). Phát hiện chính: publication bias xác nhận qua Begg–Mazumdar τ=−0,134 (p=.0007), trim-and-fill k=58 imputed,</w:t>
      </w:r>
      <w:r>
        <w:t xml:space="preserve"> </w:t>
      </w:r>
      <w:r>
        <w:rPr>
          <w:iCs/>
          <w:i/>
        </w:rPr>
        <w:t xml:space="preserve">r</w:t>
      </w:r>
      <w:r>
        <w:t xml:space="preserve">_adj=0,035, tức pooled effect thực tế thấp hơn khoảng 50% so với ước lượng thô. Đóng góp của P6 trong khuôn khổ CD2: xác nhận gradient ICRV tổng thể (Q_M có ý nghĩa) nhưng không đủ k ở mỗi nhóm để xác nhận đường gradient đơn điệu E1a/E1b.</w:t>
      </w:r>
    </w:p>
    <w:p>
      <w:pPr>
        <w:pStyle w:val="BodyText"/>
      </w:pPr>
      <w:r>
        <w:rPr>
          <w:bCs/>
          <w:b/>
        </w:rPr>
        <w:t xml:space="preserve">Hướng 2 — P7: Kiểm định H1–H6 toàn pool 49 nền kinh tế (JIBS, under revision):</w:t>
      </w:r>
      <w:r>
        <w:t xml:space="preserve"> </w:t>
      </w:r>
      <w:r>
        <w:t xml:space="preserve">P7 đã hoàn thành với N=84,910–91,982 doanh nghiệp, 49 nền kinh tế châu Á và Thái Bình Dương, 102 country-year waves, 6 nhóm ICRV. Kết quả xác nhận: H1 (phi tuyến) TP≈36%; H2 TCI level effect β≈+0.344 (p&lt;.05); H3 DAI universal level effect β=+0.155 (p&lt;.001) + cả hai curvature interactions; H5 ICRV gradient cho thấy TP</w:t>
      </w:r>
      <w:r>
        <w:t xml:space="preserve"> </w:t>
      </w:r>
      <w:r>
        <w:rPr>
          <w:bCs/>
          <w:b/>
        </w:rPr>
        <w:t xml:space="preserve">giảm</w:t>
      </w:r>
      <w:r>
        <w:t xml:space="preserve"> </w:t>
      </w:r>
      <w:r>
        <w:t xml:space="preserve">từ SIDS/Frontier (~55%) xuống Advanced Innovation (~28%); DAI×ICRV p=.012 (digital shield strongest khi thể chế yếu). P3 (Nhóm IV), P4 (Nhóm I), và P5 (Nhóm III) cung cấp neo đậu cross-context đã được xác nhận bởi pooled 49-economy results.</w:t>
      </w:r>
    </w:p>
    <w:p>
      <w:pPr>
        <w:pStyle w:val="BodyText"/>
      </w:pPr>
      <w:r>
        <w:rPr>
          <w:bCs/>
          <w:b/>
        </w:rPr>
        <w:t xml:space="preserve">Hướng 3 — P8: SIDS Thái Bình Dương, gánh nặng tắt buộc (World Development, under revision):</w:t>
      </w:r>
      <w:r>
        <w:t xml:space="preserve"> </w:t>
      </w:r>
      <w:r>
        <w:t xml:space="preserve">P8 đã hoàn thành với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tắt buộc (Briguglio, 1995; Bertram, 2006). Khoảng trống H1b trong CD2 đã được lấp đầy bởi P8.</w:t>
      </w:r>
    </w:p>
    <w:p>
      <w:pPr>
        <w:pStyle w:val="BodyText"/>
      </w:pPr>
      <w:r>
        <w:rPr>
          <w:bCs/>
          <w:b/>
        </w:rPr>
        <w:t xml:space="preserve">Hướng 4 —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 Panel longitudinal WBES core 2023–2027 (JIBS hoặc SMJ):</w:t>
      </w:r>
      <w:r>
        <w:t xml:space="preserve"> </w:t>
      </w:r>
      <w:r>
        <w:t xml:space="preserve">WBES core panel theo dõi một nhóm doanh nghiệp trong ít nhất hai sóng liên tiếp, cho phép kiểm định nhân quả TCI→năng suất và DAI→FSTS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8"/>
    <w:bookmarkEnd w:id="89"/>
    <w:bookmarkEnd w:id="90"/>
    <w:bookmarkStart w:id="124"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9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92">
        <w:r>
          <w:rPr>
            <w:rStyle w:val="Hyperlink"/>
          </w:rPr>
          <w:t xml:space="preserve">https://doi.org/10.1177/014920639101700108</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93">
        <w:r>
          <w:rPr>
            <w:rStyle w:val="Hyperlink"/>
          </w:rPr>
          <w:t xml:space="preserve">https://doi.org/10.25300/MISQ/2013/37:2.3</w:t>
        </w:r>
      </w:hyperlink>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r>
        <w:t xml:space="preserve"> </w:t>
      </w:r>
      <w:hyperlink r:id="rId94">
        <w:r>
          <w:rPr>
            <w:rStyle w:val="Hyperlink"/>
          </w:rPr>
          <w:t xml:space="preserve">https://doi.org/10.1016/0305-750X(95)00065-K</w:t>
        </w:r>
      </w:hyperlink>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w:t>
      </w:r>
      <w:r>
        <w:t xml:space="preserve"> </w:t>
      </w:r>
      <w:hyperlink r:id="rId95">
        <w:r>
          <w:rPr>
            <w:rStyle w:val="Hyperlink"/>
          </w:rPr>
          <w:t xml:space="preserve">https://doi.org/10.5465/amj.2008.33665310</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96">
        <w:r>
          <w:rPr>
            <w:rStyle w:val="Hyperlink"/>
          </w:rPr>
          <w:t xml:space="preserve">https://doi.org/10.1016/j.jwb.2010.10.019</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97">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98">
        <w:r>
          <w:rPr>
            <w:rStyle w:val="Hyperlink"/>
          </w:rPr>
          <w:t xml:space="preserve">https://doi.org/10.1016/j.jbusres.2008.01.013</w:t>
        </w:r>
      </w:hyperlink>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99">
        <w:r>
          <w:rPr>
            <w:rStyle w:val="Hyperlink"/>
          </w:rPr>
          <w:t xml:space="preserve">https://doi.org/10.1057/palgrave.jibs.8400003</w:t>
        </w:r>
      </w:hyperlink>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 [P3 —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 [P5 — Trung Quốc]</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100">
        <w:r>
          <w:rPr>
            <w:rStyle w:val="Hyperlink"/>
          </w:rPr>
          <w:t xml:space="preserve">https://doi.org/10.1057/palgrave.jibs.8490065</w:t>
        </w:r>
      </w:hyperlink>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101">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102">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103">
        <w:r>
          <w:rPr>
            <w:rStyle w:val="Hyperlink"/>
          </w:rPr>
          <w:t xml:space="preserve">https://doi.org/10.2307/256948</w:t>
        </w:r>
      </w:hyperlink>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r>
        <w:t xml:space="preserve"> </w:t>
      </w:r>
      <w:hyperlink r:id="rId104">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105">
        <w:r>
          <w:rPr>
            <w:rStyle w:val="Hyperlink"/>
          </w:rPr>
          <w:t xml:space="preserve">https://doi.org/10.1057/jibs.2009.24</w:t>
        </w:r>
      </w:hyperlink>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w:t>
      </w:r>
      <w:r>
        <w:t xml:space="preserve"> </w:t>
      </w:r>
      <w:hyperlink r:id="rId106">
        <w:r>
          <w:rPr>
            <w:rStyle w:val="Hyperlink"/>
          </w:rPr>
          <w:t xml:space="preserve">https://doi.org/10.1002/gsj.1433</w:t>
        </w:r>
      </w:hyperlink>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w:t>
      </w:r>
      <w:r>
        <w:t xml:space="preserve"> </w:t>
      </w:r>
      <w:hyperlink r:id="rId107">
        <w:r>
          <w:rPr>
            <w:rStyle w:val="Hyperlink"/>
          </w:rPr>
          <w:t xml:space="preserve">https://doi.org/10.5465/amj.2009.0703</w:t>
        </w:r>
      </w:hyperlink>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108">
        <w:r>
          <w:rPr>
            <w:rStyle w:val="Hyperlink"/>
          </w:rPr>
          <w:t xml:space="preserve">https://doi.org/10.1016/0305-750X(92)90097-F</w:t>
        </w:r>
      </w:hyperlink>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109">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110">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111">
        <w:r>
          <w:rPr>
            <w:rStyle w:val="Hyperlink"/>
          </w:rPr>
          <w:t xml:space="preserve">https://doi.org/10.2307/20159604</w:t>
        </w:r>
      </w:hyperlink>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112">
        <w:r>
          <w:rPr>
            <w:rStyle w:val="Hyperlink"/>
          </w:rPr>
          <w:t xml:space="preserve">https://doi.org/10.1177/0149206316648proper</w:t>
        </w:r>
      </w:hyperlink>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w:t>
      </w:r>
      <w:r>
        <w:t xml:space="preserve"> </w:t>
      </w:r>
      <w:hyperlink r:id="rId113">
        <w:r>
          <w:rPr>
            <w:rStyle w:val="Hyperlink"/>
          </w:rPr>
          <w:t xml:space="preserve">https://doi.org/10.1016/j.jwb.2010.05.003</w:t>
        </w:r>
      </w:hyperlink>
    </w:p>
    <w:p>
      <w:pPr>
        <w:pStyle w:val="BodyText"/>
      </w:pPr>
      <w:r>
        <w:t xml:space="preserve">North, D. C. (1990).</w:t>
      </w:r>
      <w:r>
        <w:t xml:space="preserve"> </w:t>
      </w:r>
      <w:r>
        <w:rPr>
          <w:iCs/>
          <w:i/>
        </w:rPr>
        <w:t xml:space="preserve">Institutions, institutional change and economic performance</w:t>
      </w:r>
      <w:r>
        <w:t xml:space="preserve">. Cambridge University Press.</w:t>
      </w:r>
      <w:r>
        <w:t xml:space="preserve"> </w:t>
      </w:r>
      <w:hyperlink r:id="rId114">
        <w:r>
          <w:rPr>
            <w:rStyle w:val="Hyperlink"/>
          </w:rPr>
          <w:t xml:space="preserve">https://doi.org/10.1017/CBO9780511808678</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15">
        <w:r>
          <w:rPr>
            <w:rStyle w:val="Hyperlink"/>
          </w:rPr>
          <w:t xml:space="preserve">https://doi.org/10.1111/j.1745-9125.1998.tb01268.x</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116">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117">
        <w:r>
          <w:rPr>
            <w:rStyle w:val="Hyperlink"/>
          </w:rPr>
          <w:t xml:space="preserve">https://doi.org/10.1057/palgrave.jibs.8400377</w:t>
        </w:r>
      </w:hyperlink>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w:t>
      </w:r>
      <w:r>
        <w:t xml:space="preserve"> </w:t>
      </w:r>
      <w:hyperlink r:id="rId118">
        <w:r>
          <w:rPr>
            <w:rStyle w:val="Hyperlink"/>
          </w:rPr>
          <w:t xml:space="preserve">https://doi.org/10.3368/jhr.50.2.301</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119">
        <w:r>
          <w:rPr>
            <w:rStyle w:val="Hyperlink"/>
          </w:rPr>
          <w:t xml:space="preserve">https://doi.org/10.1002/gsj.1336</w:t>
        </w:r>
      </w:hyperlink>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2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121">
        <w:r>
          <w:rPr>
            <w:rStyle w:val="Hyperlink"/>
          </w:rPr>
          <w:t xml:space="preserve">https://doi.org/10.1002/smj.4250050207</w:t>
        </w:r>
      </w:hyperlink>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w:t>
      </w:r>
      <w:r>
        <w:t xml:space="preserve"> </w:t>
      </w:r>
      <w:hyperlink r:id="rId122">
        <w:r>
          <w:rPr>
            <w:rStyle w:val="Hyperlink"/>
          </w:rPr>
          <w:t xml:space="preserve">https://doi.org/10.1007/s11575-022-00462-x</w:t>
        </w:r>
      </w:hyperlink>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r>
        <w:t xml:space="preserve"> </w:t>
      </w:r>
      <w:hyperlink r:id="rId123">
        <w:r>
          <w:rPr>
            <w:rStyle w:val="Hyperlink"/>
          </w:rPr>
          <w:t xml:space="preserve">https://doi.org/10.1016/j.intman.2013.01.003</w:t>
        </w:r>
      </w:hyperlink>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124"/>
    <w:bookmarkStart w:id="129" w:name="phụ-lục"/>
    <w:p>
      <w:pPr>
        <w:pStyle w:val="Heading2"/>
      </w:pPr>
      <w:r>
        <w:t xml:space="preserve">PHỤ LỤC</w:t>
      </w:r>
    </w:p>
    <w:bookmarkStart w:id="125" w:name="X2ea52842c06e0496eaa899ccd5db2777360b638"/>
    <w:p>
      <w:pPr>
        <w:pStyle w:val="Heading3"/>
      </w:pPr>
      <w:r>
        <w:t xml:space="preserve">Phụ lục A —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P8 dùng bộ lọc WBES SIDS_small gồm 9 nước, bổ sung thêm Comoros và Timor-Leste.)</w:t>
      </w:r>
    </w:p>
    <w:p>
      <w:pPr>
        <w:pStyle w:val="BodyText"/>
      </w:pPr>
      <w:r>
        <w:t xml:space="preserve">Tổng: 5 + 5 + 6 + 7 + 17 + 7 = 47 nền kinh tế.</w:t>
      </w:r>
    </w:p>
    <w:bookmarkEnd w:id="125"/>
    <w:bookmarkStart w:id="126" w:name="phụ-lục-b--tóm-tắt-ba-bản-thảo-đồng-hành"/>
    <w:p>
      <w:pPr>
        <w:pStyle w:val="Heading3"/>
      </w:pPr>
      <w:r>
        <w:t xml:space="preserve">Phụ lục B — Tóm tắt ba bản thảo đồng hành</w:t>
      </w:r>
    </w:p>
    <w:p>
      <w:pPr>
        <w:pStyle w:val="FirstParagraph"/>
      </w:pPr>
      <w:r>
        <w:t xml:space="preserve">P3 (Việt Nam, JABS, under review): Đỗ, T. H., &amp; Phan, A. T. (2026). Phân tích 2.958 doanh nghiệp WBES ba sóng 2009/2015/2023. Kết quả chính: chữ U ngược xác nhận (Lind–Mehlum p &lt; 0,001 tổng hợp); điểm uốn 46,2% (2009), 39,3% (2015), 41,6% (2023), 39,7% (tổng hợp); TCI nhân quả (</w:t>
      </w:r>
      <m:oMath>
        <m:r>
          <m:t>β</m:t>
        </m:r>
        <m:r>
          <m:rPr>
            <m:sty m:val="p"/>
          </m:rPr>
          <m:t>=</m:t>
        </m:r>
        <m:r>
          <m:t>1.639</m:t>
        </m:r>
      </m:oMath>
      <w:r>
        <w:t xml:space="preserve">, F bậc một = 22,1); DAI phụ thuộc chọn lựa (β_IV = 0,018, F bậc một = 34,6); Paternoster z = 3,353 giữa điểm uốn 2009 và 2015 (p &lt; 0,001).</w:t>
      </w:r>
    </w:p>
    <w:p>
      <w:pPr>
        <w:pStyle w:val="BodyText"/>
      </w:pPr>
      <w:r>
        <w:t xml:space="preserve">P4 (Singapore, MIR, under review): Mar, K. S., Đỗ, T. H., &amp; Phan, A. T. (2026). Phân tích 623 doanh nghiệp WBES 2023. Kết quả chính: đường cong I→P chủ yếu dương; điểm uốn hàm ý ~88,6% (vùng thưa dữ liệu; Lind–Mehlum p = 0,303); DAI×FSTS² = +3,119 (p = 0,005), tức DAI là nguồn lực mở rộng tình huống; TCI</w:t>
      </w:r>
      <w:r>
        <w:t xml:space="preserve"> </w:t>
      </w:r>
      <m:oMath>
        <m:r>
          <m:t>β</m:t>
        </m:r>
        <m:r>
          <m:rPr>
            <m:sty m:val="p"/>
          </m:rPr>
          <m:t>=</m:t>
        </m:r>
        <m:r>
          <m:t>0.153</m:t>
        </m:r>
      </m:oMath>
      <w:r>
        <w:t xml:space="preserve">.</w:t>
      </w:r>
    </w:p>
    <w:p>
      <w:pPr>
        <w:pStyle w:val="BodyText"/>
      </w:pPr>
      <w:r>
        <w:t xml:space="preserve">P5 (Trung Quốc, IJOEM, under review): Đỗ, T. H., &amp; Phan, A. T. (2026). Phân tích 4.559 doanh nghiệp WBES hai sóng 2012/2024. Kết quả chính: chữ U ngược bền vững cấu trúc, với điểm uốn 49,4% (2012), 47,2% (2024), Paternoster FSTS² p = 0,545 (không có sự khác biệt đáng kể); TCI tăng cường theo thời gian (+0,260 → +0,426, Paternoster p = 0,011).</w:t>
      </w:r>
    </w:p>
    <w:bookmarkEnd w:id="126"/>
    <w:bookmarkStart w:id="127" w:name="phụ-lục-c--quy-ước-báo-cáo-thống-kê"/>
    <w:p>
      <w:pPr>
        <w:pStyle w:val="Heading3"/>
      </w:pPr>
      <w:r>
        <w:t xml:space="preserve">Phụ lục C —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127"/>
    <w:bookmarkStart w:id="128" w:name="Xd529ac992b128dceb2ea262f8c2f50bab89d9c2"/>
    <w:p>
      <w:pPr>
        <w:pStyle w:val="Heading3"/>
      </w:pPr>
      <w:r>
        <w:t xml:space="preserve">Phụ lục D —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Pool 47 quốc gia × 5 ngành chính ≈ 235 </w:t>
      </w:r>
      <w:r>
        <w:rPr>
          <w:rStyle w:val="KeywordTok"/>
        </w:rPr>
        <w:t xml:space="preserve">cluster</w:t>
      </w:r>
      <w:r>
        <w:rPr>
          <w:rStyle w:val="NormalTok"/>
        </w:rPr>
        <w:t xml:space="preserve"> →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128"/>
    <w:bookmarkEnd w:id="129"/>
    <w:bookmarkEnd w:id="13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119" Target="https://doi.org/10.1002/gsj.1336" TargetMode="External" /><Relationship Type="http://schemas.openxmlformats.org/officeDocument/2006/relationships/hyperlink" Id="rId106" Target="https://doi.org/10.1002/gsj.1433" TargetMode="External" /><Relationship Type="http://schemas.openxmlformats.org/officeDocument/2006/relationships/hyperlink" Id="rId121" Target="https://doi.org/10.1002/smj.4250050207" TargetMode="External" /><Relationship Type="http://schemas.openxmlformats.org/officeDocument/2006/relationships/hyperlink" Id="rId122" Target="https://doi.org/10.1007/s11575-022-00462-x" TargetMode="External" /><Relationship Type="http://schemas.openxmlformats.org/officeDocument/2006/relationships/hyperlink" Id="rId108" Target="https://doi.org/10.1016/0305-750X(92)90097-F" TargetMode="External" /><Relationship Type="http://schemas.openxmlformats.org/officeDocument/2006/relationships/hyperlink" Id="rId94" Target="https://doi.org/10.1016/0305-750X(95)00065-K" TargetMode="External" /><Relationship Type="http://schemas.openxmlformats.org/officeDocument/2006/relationships/hyperlink" Id="rId123" Target="https://doi.org/10.1016/j.intman.2013.01.003" TargetMode="External" /><Relationship Type="http://schemas.openxmlformats.org/officeDocument/2006/relationships/hyperlink" Id="rId98" Target="https://doi.org/10.1016/j.jbusres.2008.01.013" TargetMode="External" /><Relationship Type="http://schemas.openxmlformats.org/officeDocument/2006/relationships/hyperlink" Id="rId120" Target="https://doi.org/10.1016/j.jbusres.2019.09.022" TargetMode="External" /><Relationship Type="http://schemas.openxmlformats.org/officeDocument/2006/relationships/hyperlink" Id="rId113" Target="https://doi.org/10.1016/j.jwb.2010.05.003" TargetMode="External" /><Relationship Type="http://schemas.openxmlformats.org/officeDocument/2006/relationships/hyperlink" Id="rId96" Target="https://doi.org/10.1016/j.jwb.2010.10.019" TargetMode="External" /><Relationship Type="http://schemas.openxmlformats.org/officeDocument/2006/relationships/hyperlink" Id="rId114" Target="https://doi.org/10.1017/CBO9780511808678" TargetMode="External" /><Relationship Type="http://schemas.openxmlformats.org/officeDocument/2006/relationships/hyperlink" Id="rId105" Target="https://doi.org/10.1057/jibs.2009.24" TargetMode="External" /><Relationship Type="http://schemas.openxmlformats.org/officeDocument/2006/relationships/hyperlink" Id="rId99" Target="https://doi.org/10.1057/palgrave.jibs.8400003" TargetMode="External" /><Relationship Type="http://schemas.openxmlformats.org/officeDocument/2006/relationships/hyperlink" Id="rId117" Target="https://doi.org/10.1057/palgrave.jibs.8400377" TargetMode="External" /><Relationship Type="http://schemas.openxmlformats.org/officeDocument/2006/relationships/hyperlink" Id="rId100" Target="https://doi.org/10.1057/palgrave.jibs.8490065" TargetMode="External" /><Relationship Type="http://schemas.openxmlformats.org/officeDocument/2006/relationships/hyperlink" Id="rId104" Target="https://doi.org/10.1057/palgrave.jibs.8490676" TargetMode="External" /><Relationship Type="http://schemas.openxmlformats.org/officeDocument/2006/relationships/hyperlink" Id="rId91" Target="https://doi.org/10.1057/s41267-019-00243-7" TargetMode="External" /><Relationship Type="http://schemas.openxmlformats.org/officeDocument/2006/relationships/hyperlink" Id="rId110" Target="https://doi.org/10.1080/00031305.2000.10474549" TargetMode="External" /><Relationship Type="http://schemas.openxmlformats.org/officeDocument/2006/relationships/hyperlink" Id="rId109" Target="https://doi.org/10.1111/j.1468-0084.2009.00569.x" TargetMode="External" /><Relationship Type="http://schemas.openxmlformats.org/officeDocument/2006/relationships/hyperlink" Id="rId115" Target="https://doi.org/10.1111/j.1745-9125.1998.tb01268.x" TargetMode="External" /><Relationship Type="http://schemas.openxmlformats.org/officeDocument/2006/relationships/hyperlink" Id="rId112" Target="https://doi.org/10.1177/0149206316648proper" TargetMode="External" /><Relationship Type="http://schemas.openxmlformats.org/officeDocument/2006/relationships/hyperlink" Id="rId92" Target="https://doi.org/10.1177/014920639101700108" TargetMode="External" /><Relationship Type="http://schemas.openxmlformats.org/officeDocument/2006/relationships/hyperlink" Id="rId111" Target="https://doi.org/10.2307/20159604" TargetMode="External" /><Relationship Type="http://schemas.openxmlformats.org/officeDocument/2006/relationships/hyperlink" Id="rId97" Target="https://doi.org/10.2307/2393553" TargetMode="External" /><Relationship Type="http://schemas.openxmlformats.org/officeDocument/2006/relationships/hyperlink" Id="rId103" Target="https://doi.org/10.2307/256948" TargetMode="External" /><Relationship Type="http://schemas.openxmlformats.org/officeDocument/2006/relationships/hyperlink" Id="rId93" Target="https://doi.org/10.25300/MISQ/2013/37:2.3" TargetMode="External" /><Relationship Type="http://schemas.openxmlformats.org/officeDocument/2006/relationships/hyperlink" Id="rId118" Target="https://doi.org/10.3368/jhr.50.2.301" TargetMode="External" /><Relationship Type="http://schemas.openxmlformats.org/officeDocument/2006/relationships/hyperlink" Id="rId95" Target="https://doi.org/10.5465/amj.2008.33665310" TargetMode="External" /><Relationship Type="http://schemas.openxmlformats.org/officeDocument/2006/relationships/hyperlink" Id="rId107" Target="https://doi.org/10.5465/amj.2009.0703" TargetMode="External" /><Relationship Type="http://schemas.openxmlformats.org/officeDocument/2006/relationships/hyperlink" Id="rId102" Target="https://doi.org/10.5465/amr.1984.4277628" TargetMode="External" /><Relationship Type="http://schemas.openxmlformats.org/officeDocument/2006/relationships/hyperlink" Id="rId116" Target="https://doi.org/10.5465/amr.2003.9416341" TargetMode="External" /><Relationship Type="http://schemas.openxmlformats.org/officeDocument/2006/relationships/hyperlink" Id="rId101" Target="https://doi.org/10.5465/amr.2007.24345254" TargetMode="External" /></Relationships>
</file>

<file path=word/_rels/footnotes.xml.rels><?xml version="1.0" encoding="UTF-8"?><Relationships xmlns="http://schemas.openxmlformats.org/package/2006/relationships"><Relationship Type="http://schemas.openxmlformats.org/officeDocument/2006/relationships/hyperlink" Id="rId119" Target="https://doi.org/10.1002/gsj.1336" TargetMode="External" /><Relationship Type="http://schemas.openxmlformats.org/officeDocument/2006/relationships/hyperlink" Id="rId106" Target="https://doi.org/10.1002/gsj.1433" TargetMode="External" /><Relationship Type="http://schemas.openxmlformats.org/officeDocument/2006/relationships/hyperlink" Id="rId121" Target="https://doi.org/10.1002/smj.4250050207" TargetMode="External" /><Relationship Type="http://schemas.openxmlformats.org/officeDocument/2006/relationships/hyperlink" Id="rId122" Target="https://doi.org/10.1007/s11575-022-00462-x" TargetMode="External" /><Relationship Type="http://schemas.openxmlformats.org/officeDocument/2006/relationships/hyperlink" Id="rId108" Target="https://doi.org/10.1016/0305-750X(92)90097-F" TargetMode="External" /><Relationship Type="http://schemas.openxmlformats.org/officeDocument/2006/relationships/hyperlink" Id="rId94" Target="https://doi.org/10.1016/0305-750X(95)00065-K" TargetMode="External" /><Relationship Type="http://schemas.openxmlformats.org/officeDocument/2006/relationships/hyperlink" Id="rId123" Target="https://doi.org/10.1016/j.intman.2013.01.003" TargetMode="External" /><Relationship Type="http://schemas.openxmlformats.org/officeDocument/2006/relationships/hyperlink" Id="rId98" Target="https://doi.org/10.1016/j.jbusres.2008.01.013" TargetMode="External" /><Relationship Type="http://schemas.openxmlformats.org/officeDocument/2006/relationships/hyperlink" Id="rId120" Target="https://doi.org/10.1016/j.jbusres.2019.09.022" TargetMode="External" /><Relationship Type="http://schemas.openxmlformats.org/officeDocument/2006/relationships/hyperlink" Id="rId113" Target="https://doi.org/10.1016/j.jwb.2010.05.003" TargetMode="External" /><Relationship Type="http://schemas.openxmlformats.org/officeDocument/2006/relationships/hyperlink" Id="rId96" Target="https://doi.org/10.1016/j.jwb.2010.10.019" TargetMode="External" /><Relationship Type="http://schemas.openxmlformats.org/officeDocument/2006/relationships/hyperlink" Id="rId114" Target="https://doi.org/10.1017/CBO9780511808678" TargetMode="External" /><Relationship Type="http://schemas.openxmlformats.org/officeDocument/2006/relationships/hyperlink" Id="rId105" Target="https://doi.org/10.1057/jibs.2009.24" TargetMode="External" /><Relationship Type="http://schemas.openxmlformats.org/officeDocument/2006/relationships/hyperlink" Id="rId99" Target="https://doi.org/10.1057/palgrave.jibs.8400003" TargetMode="External" /><Relationship Type="http://schemas.openxmlformats.org/officeDocument/2006/relationships/hyperlink" Id="rId117" Target="https://doi.org/10.1057/palgrave.jibs.8400377" TargetMode="External" /><Relationship Type="http://schemas.openxmlformats.org/officeDocument/2006/relationships/hyperlink" Id="rId100" Target="https://doi.org/10.1057/palgrave.jibs.8490065" TargetMode="External" /><Relationship Type="http://schemas.openxmlformats.org/officeDocument/2006/relationships/hyperlink" Id="rId104" Target="https://doi.org/10.1057/palgrave.jibs.8490676" TargetMode="External" /><Relationship Type="http://schemas.openxmlformats.org/officeDocument/2006/relationships/hyperlink" Id="rId91" Target="https://doi.org/10.1057/s41267-019-00243-7" TargetMode="External" /><Relationship Type="http://schemas.openxmlformats.org/officeDocument/2006/relationships/hyperlink" Id="rId110" Target="https://doi.org/10.1080/00031305.2000.10474549" TargetMode="External" /><Relationship Type="http://schemas.openxmlformats.org/officeDocument/2006/relationships/hyperlink" Id="rId109" Target="https://doi.org/10.1111/j.1468-0084.2009.00569.x" TargetMode="External" /><Relationship Type="http://schemas.openxmlformats.org/officeDocument/2006/relationships/hyperlink" Id="rId115" Target="https://doi.org/10.1111/j.1745-9125.1998.tb01268.x" TargetMode="External" /><Relationship Type="http://schemas.openxmlformats.org/officeDocument/2006/relationships/hyperlink" Id="rId112" Target="https://doi.org/10.1177/0149206316648proper" TargetMode="External" /><Relationship Type="http://schemas.openxmlformats.org/officeDocument/2006/relationships/hyperlink" Id="rId92" Target="https://doi.org/10.1177/014920639101700108" TargetMode="External" /><Relationship Type="http://schemas.openxmlformats.org/officeDocument/2006/relationships/hyperlink" Id="rId111" Target="https://doi.org/10.2307/20159604" TargetMode="External" /><Relationship Type="http://schemas.openxmlformats.org/officeDocument/2006/relationships/hyperlink" Id="rId97" Target="https://doi.org/10.2307/2393553" TargetMode="External" /><Relationship Type="http://schemas.openxmlformats.org/officeDocument/2006/relationships/hyperlink" Id="rId103" Target="https://doi.org/10.2307/256948" TargetMode="External" /><Relationship Type="http://schemas.openxmlformats.org/officeDocument/2006/relationships/hyperlink" Id="rId93" Target="https://doi.org/10.25300/MISQ/2013/37:2.3" TargetMode="External" /><Relationship Type="http://schemas.openxmlformats.org/officeDocument/2006/relationships/hyperlink" Id="rId118" Target="https://doi.org/10.3368/jhr.50.2.301" TargetMode="External" /><Relationship Type="http://schemas.openxmlformats.org/officeDocument/2006/relationships/hyperlink" Id="rId95" Target="https://doi.org/10.5465/amj.2008.33665310" TargetMode="External" /><Relationship Type="http://schemas.openxmlformats.org/officeDocument/2006/relationships/hyperlink" Id="rId107" Target="https://doi.org/10.5465/amj.2009.0703" TargetMode="External" /><Relationship Type="http://schemas.openxmlformats.org/officeDocument/2006/relationships/hyperlink" Id="rId102" Target="https://doi.org/10.5465/amr.1984.4277628" TargetMode="External" /><Relationship Type="http://schemas.openxmlformats.org/officeDocument/2006/relationships/hyperlink" Id="rId116" Target="https://doi.org/10.5465/amr.2003.9416341" TargetMode="External" /><Relationship Type="http://schemas.openxmlformats.org/officeDocument/2006/relationships/hyperlink" Id="rId101" Target="https://doi.org/10.5465/amr.2007.243452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2026-05-23T04:40:32Z</dcterms:created>
  <dcterms:modified xsi:type="dcterms:W3CDTF">2026-05-23T04:40:32Z</dcterms:modified>
</cp:coreProperties>
</file>

<file path=docProps/custom.xml><?xml version="1.0" encoding="utf-8"?>
<Properties xmlns="http://schemas.openxmlformats.org/officeDocument/2006/custom-properties" xmlns:vt="http://schemas.openxmlformats.org/officeDocument/2006/docPropsVTypes"/>
</file>