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TCI_z is positively associated with productivity in all three waves (</w:t>
      </w:r>
      <m:oMath>
        <m:r>
          <m:t>β</m:t>
        </m:r>
        <m:r>
          <m:rPr>
            <m:sty m:val="p"/>
          </m:rPr>
          <m:t>=</m:t>
        </m:r>
        <m:r>
          <m:t>0.215</m:t>
        </m:r>
      </m:oMath>
      <w:r>
        <w:t xml:space="preserve">, 0.128, 0.123) and pooled (</w:t>
      </w:r>
      <m:oMath>
        <m:r>
          <m:t>β</m:t>
        </m:r>
        <m:r>
          <m:rPr>
            <m:sty m:val="p"/>
          </m:rPr>
          <m:t>=</m:t>
        </m:r>
        <m:r>
          <m:t>0.179</m:t>
        </m:r>
      </m:oMath>
      <w:r>
        <w:t xml:space="preserve">, p &lt; .001), and moderates the curvature in three of four panels (M3 joint p = .040, .713, .027 and .003).</w:t>
      </w:r>
    </w:p>
    <w:p>
      <w:pPr>
        <w:pStyle w:val="BodyText"/>
      </w:pPr>
      <w:r>
        <w:t xml:space="preserve">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w:t>
      </w:r>
      <m:oMath>
        <m:r>
          <m:t>β</m:t>
        </m:r>
        <m:r>
          <m:rPr>
            <m:sty m:val="p"/>
          </m:rPr>
          <m:t>=</m:t>
        </m:r>
        <m:r>
          <m:rPr>
            <m:sty m:val="p"/>
          </m:rPr>
          <m:t>−</m:t>
        </m:r>
        <m:r>
          <m:t>0.200</m:t>
        </m:r>
      </m:oMath>
      <w:r>
        <w:t xml:space="preserve">, p = .660); only ~1.0 % of pooled firms sit within ±5 percentage-points of the turning point. The productivity-relevant friction in a transitional economy binds at the participation margin, not within-exporter intensity.</w:t>
      </w:r>
    </w:p>
    <w:p>
      <w:pPr>
        <w:pStyle w:val="BodyText"/>
      </w:pPr>
      <w:r>
        <w:t xml:space="preserve">The baseline website-presence indicator is descriptively positive in 2009 (</w:t>
      </w:r>
      <m:oMath>
        <m:r>
          <m:t>β</m:t>
        </m:r>
        <m:r>
          <m:rPr>
            <m:sty m:val="p"/>
          </m:rPr>
          <m:t>=</m:t>
        </m:r>
        <m:r>
          <m:t>0.175</m:t>
        </m:r>
      </m:oMath>
      <w:r>
        <w:t xml:space="preserve">), null in 2015 (</w:t>
      </w:r>
      <m:oMath>
        <m:r>
          <m:t>β</m:t>
        </m:r>
        <m:r>
          <m:rPr>
            <m:sty m:val="p"/>
          </m:rPr>
          <m:t>=</m:t>
        </m:r>
        <m:r>
          <m:rPr>
            <m:sty m:val="p"/>
          </m:rPr>
          <m:t>−</m:t>
        </m:r>
        <m:r>
          <m:t>0.044</m:t>
        </m:r>
      </m:oMath>
      <w:r>
        <w:t xml:space="preserve">), and positive in 2023 (</w:t>
      </w:r>
      <m:oMath>
        <m:r>
          <m:t>β</m:t>
        </m:r>
        <m:r>
          <m:rPr>
            <m:sty m:val="p"/>
          </m:rPr>
          <m:t>=</m:t>
        </m:r>
        <m:r>
          <m:t>0.095</m:t>
        </m:r>
      </m:oMath>
      <w:r>
        <w:t xml:space="preserve">);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w:t>
      </w:r>
      <w:r>
        <w:t xml:space="preserve"> </w:t>
      </w:r>
      <m:oMath>
        <m:r>
          <m:t>β</m:t>
        </m:r>
        <m:r>
          <m:rPr>
            <m:sty m:val="p"/>
          </m:rPr>
          <m:t>=</m:t>
        </m:r>
        <m:r>
          <m:rPr>
            <m:sty m:val="p"/>
          </m:rPr>
          <m:t>−</m:t>
        </m:r>
        <m:r>
          <m:t>0.200</m:t>
        </m:r>
      </m:oMath>
      <w:r>
        <w:t xml:space="preserve"> </w:t>
      </w:r>
      <w:r>
        <w:t xml:space="preserve">(p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w:t>
      </w:r>
      <w:r>
        <w:t xml:space="preserve"> </w:t>
      </w:r>
      <m:oMath>
        <m:r>
          <m:t>β</m:t>
        </m:r>
        <m:r>
          <m:rPr>
            <m:sty m:val="p"/>
          </m:rPr>
          <m:t>=</m:t>
        </m:r>
        <m:r>
          <m:rPr>
            <m:sty m:val="p"/>
          </m:rPr>
          <m:t>−</m:t>
        </m:r>
        <m:r>
          <m:t>0.200</m:t>
        </m:r>
      </m:oMath>
      <w:r>
        <w:t xml:space="preserve">,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leads to 0). c22b is recoded similarly (1 = has website; 2 leads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w:t>
      </w:r>
      <m:oMath>
        <m:r>
          <m:t>β</m:t>
        </m:r>
        <m:r>
          <m:rPr>
            <m:sty m:val="p"/>
          </m:rPr>
          <m:t>=</m:t>
        </m:r>
        <m:r>
          <m:t>1.045</m:t>
        </m:r>
      </m:oMath>
      <w:r>
        <w:t xml:space="preserve">, p = .015) and a negative quadratic term (β =</w:t>
      </w:r>
      <w:r>
        <w:t xml:space="preserve"> </w:t>
      </w:r>
      <w:r>
        <w:t xml:space="preserve">-1.774, p = .009); the Lind–Mehlum test rejects monotonicity at p = .006. In the dual-direct</w:t>
      </w:r>
      <w:r>
        <w:t xml:space="preserve"> </w:t>
      </w:r>
      <w:r>
        <w:t xml:space="preserve">specification (M7) both TCI_z (</w:t>
      </w:r>
      <m:oMath>
        <m:r>
          <m:t>β</m:t>
        </m:r>
        <m:r>
          <m:rPr>
            <m:sty m:val="p"/>
          </m:rPr>
          <m:t>=</m:t>
        </m:r>
        <m:r>
          <m:t>0.215</m:t>
        </m:r>
      </m:oMath>
      <w:r>
        <w:t xml:space="preserve">, p &lt; .001) and DAI_z (</w:t>
      </w:r>
      <m:oMath>
        <m:r>
          <m:t>β</m:t>
        </m:r>
        <m:r>
          <m:rPr>
            <m:sty m:val="p"/>
          </m:rPr>
          <m:t>=</m:t>
        </m:r>
        <m:r>
          <m:t>0.175</m:t>
        </m:r>
      </m:oMath>
      <w:r>
        <w:t xml:space="preserve">,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w:t>
      </w:r>
      <w:r>
        <w:t xml:space="preserve"> </w:t>
      </w:r>
      <m:oMath>
        <m:r>
          <m:t>β</m:t>
        </m:r>
        <m:r>
          <m:rPr>
            <m:sty m:val="p"/>
          </m:rPr>
          <m:t>=</m:t>
        </m:r>
        <m:r>
          <m:t>1.159</m:t>
        </m:r>
      </m:oMath>
      <w:r>
        <w:t xml:space="preserve"> </w:t>
      </w:r>
      <w:r>
        <w:t xml:space="preserve">(p = .029) and FSTS_c²</w:t>
      </w:r>
      <w:r>
        <w:t xml:space="preserve"> </w:t>
      </w:r>
      <m:oMath>
        <m:r>
          <m:t>β</m:t>
        </m:r>
        <m:r>
          <m:rPr>
            <m:sty m:val="p"/>
          </m:rPr>
          <m:t>=</m:t>
        </m:r>
        <m:r>
          <m:rPr>
            <m:sty m:val="p"/>
          </m:rPr>
          <m:t>−</m:t>
        </m:r>
        <m:r>
          <m:t>2.115</m:t>
        </m:r>
      </m:oMath>
      <w:r>
        <w:t xml:space="preserve"> </w:t>
      </w:r>
      <w:r>
        <w:t xml:space="preserve">(p = .004), with Lind–Mehlum p = .009. TCI_z retains a positive direct association (</w:t>
      </w:r>
      <m:oMath>
        <m:r>
          <m:t>β</m:t>
        </m:r>
        <m:r>
          <m:rPr>
            <m:sty m:val="p"/>
          </m:rPr>
          <m:t>=</m:t>
        </m:r>
        <m:r>
          <m:t>0.128</m:t>
        </m:r>
      </m:oMath>
      <w:r>
        <w:t xml:space="preserve">, p = .010) but at roughly 60 per</w:t>
      </w:r>
      <w:r>
        <w:t xml:space="preserve"> </w:t>
      </w:r>
      <w:r>
        <w:t xml:space="preserve">cent of the 2009 magnitude. DAI_z loses direct salience entirely (</w:t>
      </w:r>
      <m:oMath>
        <m:r>
          <m:t>β</m:t>
        </m:r>
        <m:r>
          <m:rPr>
            <m:sty m:val="p"/>
          </m:rPr>
          <m:t>=</m:t>
        </m:r>
        <m:r>
          <m:rPr>
            <m:sty m:val="p"/>
          </m:rPr>
          <m:t>−</m:t>
        </m:r>
        <m:r>
          <m:t>0.044</m:t>
        </m:r>
      </m:oMath>
      <w:r>
        <w:t xml:space="preserve">,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w:t>
      </w:r>
      <w:r>
        <w:t xml:space="preserve"> </w:t>
      </w:r>
      <m:oMath>
        <m:r>
          <m:t>β</m:t>
        </m:r>
        <m:r>
          <m:rPr>
            <m:sty m:val="p"/>
          </m:rPr>
          <m:t>=</m:t>
        </m:r>
        <m:r>
          <m:t>0.962</m:t>
        </m:r>
      </m:oMath>
      <w:r>
        <w:t xml:space="preserve">, p = .039; FSTS_c²</w:t>
      </w:r>
      <w:r>
        <w:t xml:space="preserve"> </w:t>
      </w:r>
      <m:oMath>
        <m:r>
          <m:t>β</m:t>
        </m:r>
        <m:r>
          <m:rPr>
            <m:sty m:val="p"/>
          </m:rPr>
          <m:t>=</m:t>
        </m:r>
        <m:r>
          <m:rPr>
            <m:sty m:val="p"/>
          </m:rPr>
          <m:t>−</m:t>
        </m:r>
        <m:r>
          <m:t>1.686</m:t>
        </m:r>
      </m:oMath>
      <w:r>
        <w:t xml:space="preserve">, p = .008; Lind–Mehlum p = .013). In the dual-direct M7, both capability dimensions are positive and significant (TCI_z</w:t>
      </w:r>
      <w:r>
        <w:t xml:space="preserve"> </w:t>
      </w:r>
      <m:oMath>
        <m:r>
          <m:t>β</m:t>
        </m:r>
        <m:r>
          <m:rPr>
            <m:sty m:val="p"/>
          </m:rPr>
          <m:t>=</m:t>
        </m:r>
        <m:r>
          <m:t>0.123</m:t>
        </m:r>
      </m:oMath>
      <w:r>
        <w:t xml:space="preserve">, p = .006; DAI_z</w:t>
      </w:r>
      <w:r>
        <w:t xml:space="preserve"> </w:t>
      </w:r>
      <m:oMath>
        <m:r>
          <m:t>β</m:t>
        </m:r>
        <m:r>
          <m:rPr>
            <m:sty m:val="p"/>
          </m:rPr>
          <m:t>=</m:t>
        </m:r>
        <m:r>
          <m:t>0.095</m:t>
        </m:r>
      </m:oMath>
      <w:r>
        <w:t xml:space="preserve">,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w:t>
      </w:r>
      <m:oMath>
        <m:r>
          <m:t>β</m:t>
        </m:r>
        <m:r>
          <m:rPr>
            <m:sty m:val="p"/>
          </m:rPr>
          <m:t>=</m:t>
        </m:r>
        <m:r>
          <m:t>0.018</m:t>
        </m:r>
      </m:oMath>
      <w:r>
        <w:t xml:space="preserve">,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leads to 0.128 leads to 0.123) but with moderation</w:t>
      </w:r>
    </w:p>
    <w:p>
      <w:pPr>
        <w:pStyle w:val="BodyText"/>
      </w:pPr>
      <w:r>
        <w:t xml:space="preserve">that survives in the 2009, 2023 and pooled panels. Website-based digital presence follows a nonmonotonic trajectory, strong in 2009 (</w:t>
      </w:r>
      <m:oMath>
        <m:r>
          <m:t>β</m:t>
        </m:r>
        <m:r>
          <m:rPr>
            <m:sty m:val="p"/>
          </m:rPr>
          <m:t>=</m:t>
        </m:r>
        <m:r>
          <m:t>0.175</m:t>
        </m:r>
      </m:oMath>
      <w:r>
        <w:t xml:space="preserve"> </w:t>
      </w:r>
      <w:r>
        <w:t xml:space="preserve">***), null in 2015 (</w:t>
      </w:r>
      <m:oMath>
        <m:r>
          <m:t>β</m:t>
        </m:r>
        <m:r>
          <m:rPr>
            <m:sty m:val="p"/>
          </m:rPr>
          <m:t>=</m:t>
        </m:r>
        <m:r>
          <m:rPr>
            <m:sty m:val="p"/>
          </m:rPr>
          <m:t>−</m:t>
        </m:r>
        <m:r>
          <m:t>0.044</m:t>
        </m:r>
      </m:oMath>
      <w:r>
        <w:t xml:space="preserve"> </w:t>
      </w:r>
      <w:r>
        <w:t xml:space="preserve">n.s.), and</w:t>
      </w:r>
      <w:r>
        <w:t xml:space="preserve"> </w:t>
      </w:r>
      <w:r>
        <w:t xml:space="preserve">re-emerging in 2023 (</w:t>
      </w:r>
      <m:oMath>
        <m:r>
          <m:t>β</m:t>
        </m:r>
        <m:r>
          <m:rPr>
            <m:sty m:val="p"/>
          </m:rPr>
          <m:t>=</m:t>
        </m:r>
        <m:r>
          <m:t>0.095</m:t>
        </m:r>
      </m:oMath>
      <w:r>
        <w:t xml:space="preserve"> </w:t>
      </w:r>
      <w:r>
        <w:t xml:space="preserve">*),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w:t>
      </w:r>
      <m:oMath>
        <m:r>
          <m:t>β</m:t>
        </m:r>
        <m:r>
          <m:rPr>
            <m:sty m:val="p"/>
          </m:rPr>
          <m:t>=</m:t>
        </m:r>
        <m:r>
          <m:t>0.984</m:t>
        </m:r>
      </m:oMath>
      <w:r>
        <w:t xml:space="preserve">, p &lt; .001) and the quadratic FSTS_c² term is negative (</w:t>
      </w:r>
      <m:oMath>
        <m:r>
          <m:t>β</m:t>
        </m:r>
        <m:r>
          <m:rPr>
            <m:sty m:val="p"/>
          </m:rPr>
          <m:t>=</m:t>
        </m:r>
        <m:r>
          <m:rPr>
            <m:sty m:val="p"/>
          </m:rPr>
          <m:t>−</m:t>
        </m:r>
        <m:r>
          <m:t>1.909</m:t>
        </m:r>
      </m:oMath>
      <w:r>
        <w:t xml:space="preserve">,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w:t>
      </w:r>
      <w:r>
        <w:t xml:space="preserve"> </w:t>
      </w:r>
      <m:oMath>
        <m:r>
          <m:t>β</m:t>
        </m:r>
        <m:r>
          <m:rPr>
            <m:sty m:val="p"/>
          </m:rPr>
          <m:t>=</m:t>
        </m:r>
        <m:r>
          <m:t>0.845</m:t>
        </m:r>
      </m:oMath>
      <w:r>
        <w:t xml:space="preserve">, p = .006; FSTS_c²</w:t>
      </w:r>
      <w:r>
        <w:t xml:space="preserve"> </w:t>
      </w:r>
      <m:oMath>
        <m:r>
          <m:t>β</m:t>
        </m:r>
        <m:r>
          <m:rPr>
            <m:sty m:val="p"/>
          </m:rPr>
          <m:t>=</m:t>
        </m:r>
        <m:r>
          <m:rPr>
            <m:sty m:val="p"/>
          </m:rPr>
          <m:t>−</m:t>
        </m:r>
        <m:r>
          <m:t>1.650</m:t>
        </m:r>
      </m:oMath>
      <w:r>
        <w:t xml:space="preserve">,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w:t>
      </w:r>
      <m:oMath>
        <m:r>
          <m:t>β</m:t>
        </m:r>
        <m:r>
          <m:rPr>
            <m:sty m:val="p"/>
          </m:rPr>
          <m:t>=</m:t>
        </m:r>
        <m:r>
          <m:t>0.179</m:t>
        </m:r>
      </m:oMath>
      <w:r>
        <w:t xml:space="preserve">, p &lt; .001), and DAI_z is positive and significant (</w:t>
      </w:r>
      <m:oMath>
        <m:r>
          <m:t>β</m:t>
        </m:r>
        <m:r>
          <m:rPr>
            <m:sty m:val="p"/>
          </m:rPr>
          <m:t>=</m:t>
        </m:r>
        <m:r>
          <m:t>0.078</m:t>
        </m:r>
      </m:oMath>
      <w:r>
        <w:t xml:space="preserve">, p = .004). In the full M8 specification, the TCI_z coefficient is essentially unchanged (</w:t>
      </w:r>
      <m:oMath>
        <m:r>
          <m:t>β</m:t>
        </m:r>
        <m:r>
          <m:rPr>
            <m:sty m:val="p"/>
          </m:rPr>
          <m:t>=</m:t>
        </m:r>
        <m:r>
          <m:t>0.184</m:t>
        </m:r>
      </m:oMath>
      <w:r>
        <w:t xml:space="preserve">, p &lt; .001), while the DAI_z direct coefficient becomes statistically indistinguishable from zero (</w:t>
      </w:r>
      <m:oMath>
        <m:r>
          <m:t>β</m:t>
        </m:r>
        <m:r>
          <m:rPr>
            <m:sty m:val="p"/>
          </m:rPr>
          <m:t>=</m:t>
        </m:r>
        <m:r>
          <m:t>0.032</m:t>
        </m:r>
      </m:oMath>
      <w:r>
        <w:t xml:space="preserve">,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w:t>
      </w:r>
      <w:r>
        <w:t xml:space="preserve"> </w:t>
      </w:r>
      <m:oMath>
        <m:r>
          <m:t>β</m:t>
        </m:r>
        <m:r>
          <m:rPr>
            <m:sty m:val="p"/>
          </m:rPr>
          <m:t>=</m:t>
        </m:r>
        <m:r>
          <m:t>0.179</m:t>
        </m:r>
      </m:oMath>
      <w:r>
        <w:t xml:space="preserve">,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w:t>
      </w:r>
      <m:oMath>
        <m:r>
          <m:t>β</m:t>
        </m:r>
        <m:r>
          <m:rPr>
            <m:sty m:val="p"/>
          </m:rPr>
          <m:t>=</m:t>
        </m:r>
        <m:r>
          <m:t>0.078</m:t>
        </m:r>
      </m:oMath>
      <w:r>
        <w:t xml:space="preserve">, p = .004) but with substantial wave-to-wave variability, strong in 2009 (</w:t>
      </w:r>
      <m:oMath>
        <m:r>
          <m:t>β</m:t>
        </m:r>
        <m:r>
          <m:rPr>
            <m:sty m:val="p"/>
          </m:rPr>
          <m:t>=</m:t>
        </m:r>
        <m:r>
          <m:t>0.175</m:t>
        </m:r>
      </m:oMath>
      <w:r>
        <w:t xml:space="preserve">, p &lt; .001), null in 2015 (</w:t>
      </w:r>
      <m:oMath>
        <m:r>
          <m:t>β</m:t>
        </m:r>
        <m:r>
          <m:rPr>
            <m:sty m:val="p"/>
          </m:rPr>
          <m:t>=</m:t>
        </m:r>
        <m:r>
          <m:rPr>
            <m:sty m:val="p"/>
          </m:rPr>
          <m:t>−</m:t>
        </m:r>
        <m:r>
          <m:t>0.044</m:t>
        </m:r>
      </m:oMath>
      <w:r>
        <w:t xml:space="preserve">, p = .377), and re-emerging in 2023 (</w:t>
      </w:r>
      <m:oMath>
        <m:r>
          <m:t>β</m:t>
        </m:r>
        <m:r>
          <m:rPr>
            <m:sty m:val="p"/>
          </m:rPr>
          <m:t>=</m:t>
        </m:r>
        <m:r>
          <m:t>0.095</m:t>
        </m:r>
      </m:oMath>
      <w:r>
        <w:t xml:space="preserve">,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w:t>
      </w:r>
      <m:oMath>
        <m:r>
          <m:t>β</m:t>
        </m:r>
        <m:r>
          <m:rPr>
            <m:sty m:val="p"/>
          </m:rPr>
          <m:t>=</m:t>
        </m:r>
        <m:r>
          <m:rPr>
            <m:sty m:val="p"/>
          </m:rPr>
          <m:t>−</m:t>
        </m:r>
        <m:r>
          <m:t>0.861</m:t>
        </m:r>
      </m:oMath>
      <w:r>
        <w:t xml:space="preserve">, p &lt; .001) but the quadratic term is not significant (FSTS_c²</w:t>
      </w:r>
      <w:r>
        <w:t xml:space="preserve"> </w:t>
      </w:r>
      <m:oMath>
        <m:r>
          <m:t>β</m:t>
        </m:r>
        <m:r>
          <m:rPr>
            <m:sty m:val="p"/>
          </m:rPr>
          <m:t>=</m:t>
        </m:r>
        <m:r>
          <m:rPr>
            <m:sty m:val="p"/>
          </m:rPr>
          <m:t>−</m:t>
        </m:r>
        <m:r>
          <m:t>0.200</m:t>
        </m:r>
      </m:oMath>
      <w:r>
        <w:t xml:space="preserve">,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w:t>
      </w:r>
      <w:r>
        <w:t xml:space="preserve"> </w:t>
      </w:r>
      <m:oMath>
        <m:r>
          <m:t>β</m:t>
        </m:r>
        <m:r>
          <m:rPr>
            <m:sty m:val="p"/>
          </m:rPr>
          <m:t>=</m:t>
        </m:r>
        <m:r>
          <m:t>0.971</m:t>
        </m:r>
      </m:oMath>
      <w:r>
        <w:t xml:space="preserve">, p = .001; FSTS_c²</w:t>
      </w:r>
      <w:r>
        <w:t xml:space="preserve"> </w:t>
      </w:r>
      <m:oMath>
        <m:r>
          <m:t>β</m:t>
        </m:r>
        <m:r>
          <m:rPr>
            <m:sty m:val="p"/>
          </m:rPr>
          <m:t>=</m:t>
        </m:r>
        <m:r>
          <m:rPr>
            <m:sty m:val="p"/>
          </m:rPr>
          <m:t>−</m:t>
        </m:r>
        <m:r>
          <m:t>1.883</m:t>
        </m:r>
      </m:oMath>
      <w:r>
        <w:t xml:space="preserve">, p &lt; .001) than in non-manufacturing (FSTS_c</w:t>
      </w:r>
      <w:r>
        <w:t xml:space="preserve"> </w:t>
      </w:r>
      <m:oMath>
        <m:r>
          <m:t>β</m:t>
        </m:r>
        <m:r>
          <m:rPr>
            <m:sty m:val="p"/>
          </m:rPr>
          <m:t>=</m:t>
        </m:r>
        <m:r>
          <m:t>1.615</m:t>
        </m:r>
      </m:oMath>
      <w:r>
        <w:t xml:space="preserve">, p = .064, marginal; FSTS_c²</w:t>
      </w:r>
      <w:r>
        <w:t xml:space="preserve"> </w:t>
      </w:r>
      <m:oMath>
        <m:r>
          <m:t>β</m:t>
        </m:r>
        <m:r>
          <m:rPr>
            <m:sty m:val="p"/>
          </m:rPr>
          <m:t>=</m:t>
        </m:r>
        <m:r>
          <m:rPr>
            <m:sty m:val="p"/>
          </m:rPr>
          <m:t>−</m:t>
        </m:r>
        <m:r>
          <m:t>2.479</m:t>
        </m:r>
      </m:oMath>
      <w:r>
        <w:t xml:space="preserve">, p = .046). More substantively, the capability and digital-adoption channels operate primarily in manufacturing. In the M7 dual-direct specification, manufacturing firms display a strong TCI_z direct association (</w:t>
      </w:r>
      <m:oMath>
        <m:r>
          <m:t>β</m:t>
        </m:r>
        <m:r>
          <m:rPr>
            <m:sty m:val="p"/>
          </m:rPr>
          <m:t>=</m:t>
        </m:r>
        <m:r>
          <m:t>0.223</m:t>
        </m:r>
      </m:oMath>
      <w:r>
        <w:t xml:space="preserve">, p &lt; .001) and a positive DAI_z direct association (</w:t>
      </w:r>
      <m:oMath>
        <m:r>
          <m:t>β</m:t>
        </m:r>
        <m:r>
          <m:rPr>
            <m:sty m:val="p"/>
          </m:rPr>
          <m:t>=</m:t>
        </m:r>
        <m:r>
          <m:t>0.087</m:t>
        </m:r>
      </m:oMath>
      <w:r>
        <w:t xml:space="preserve">,</w:t>
      </w:r>
      <w:r>
        <w:t xml:space="preserve"> </w:t>
      </w:r>
      <w:r>
        <w:t xml:space="preserve">p = .009), while non-manufacturing firms show only a marginal TCI_z effect (</w:t>
      </w:r>
      <m:oMath>
        <m:r>
          <m:t>β</m:t>
        </m:r>
        <m:r>
          <m:rPr>
            <m:sty m:val="p"/>
          </m:rPr>
          <m:t>=</m:t>
        </m:r>
        <m:r>
          <m:t>0.090</m:t>
        </m:r>
      </m:oMath>
      <w:r>
        <w:t xml:space="preserve">, p =</w:t>
      </w:r>
      <w:r>
        <w:t xml:space="preserve"> </w:t>
      </w:r>
      <w:r>
        <w:t xml:space="preserve">.096) and a null DAI_z effect (</w:t>
      </w:r>
      <m:oMath>
        <m:r>
          <m:t>β</m:t>
        </m:r>
        <m:r>
          <m:rPr>
            <m:sty m:val="p"/>
          </m:rPr>
          <m:t>=</m:t>
        </m:r>
        <m:r>
          <m:t>0.068</m:t>
        </m:r>
      </m:oMath>
      <w:r>
        <w:t xml:space="preserve">,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w:t>
      </w:r>
      <m:oMath>
        <m:r>
          <m:t>β</m:t>
        </m:r>
        <m:r>
          <m:rPr>
            <m:sty m:val="p"/>
          </m:rPr>
          <m:t>=</m:t>
        </m:r>
        <m:r>
          <m:rPr>
            <m:sty m:val="p"/>
          </m:rPr>
          <m:t>−</m:t>
        </m:r>
        <m:r>
          <m:t>0.861</m:t>
        </m:r>
      </m:oMath>
      <w:r>
        <w:t xml:space="preserve">, p &lt; .001)</w:t>
      </w:r>
      <w:r>
        <w:t xml:space="preserve"> </w:t>
      </w:r>
      <w:r>
        <w:t xml:space="preserve">but a non-significant quadratic term (FSTS_c²</w:t>
      </w:r>
      <w:r>
        <w:t xml:space="preserve"> </w:t>
      </w:r>
      <m:oMath>
        <m:r>
          <m:t>β</m:t>
        </m:r>
        <m:r>
          <m:rPr>
            <m:sty m:val="p"/>
          </m:rPr>
          <m:t>=</m:t>
        </m:r>
        <m:r>
          <m:rPr>
            <m:sty m:val="p"/>
          </m:rPr>
          <m:t>−</m:t>
        </m:r>
        <m:r>
          <m:t>0.200</m:t>
        </m:r>
      </m:oMath>
      <w:r>
        <w:t xml:space="preserve">,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w:t>
      </w:r>
      <m:oMath>
        <m:r>
          <m:t>β</m:t>
        </m:r>
        <m:r>
          <m:rPr>
            <m:sty m:val="p"/>
          </m:rPr>
          <m:t>=</m:t>
        </m:r>
        <m:r>
          <m:rPr>
            <m:sty m:val="p"/>
          </m:rPr>
          <m:t>−</m:t>
        </m:r>
        <m:r>
          <m:t>1.763</m:t>
        </m:r>
      </m:oMath>
      <w:r>
        <w:t xml:space="preserve">,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w:t>
      </w:r>
      <m:oMath>
        <m:r>
          <m:t>β</m:t>
        </m:r>
        <m:r>
          <m:rPr>
            <m:sty m:val="p"/>
          </m:rPr>
          <m:t>=</m:t>
        </m:r>
        <m:r>
          <m:t>1.639</m:t>
        </m:r>
      </m:oMath>
      <w:r>
        <w:t xml:space="preserve">,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leads to 0.61; FSTSc2 −2.21 leads to −1.17; No sign change; focal findTCI 0.14 leads to 0.19; DAI 0.07 leads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 = .543)</w:t>
            </w:r>
          </w:p>
        </w:tc>
        <w:tc>
          <w:tcPr/>
          <w:p>
            <w:pPr>
              <w:pStyle w:val="Compact"/>
              <w:jc w:val="left"/>
            </w:pPr>
            <w:r>
              <w:t xml:space="preserve">z=0.96 (p = .337)</w:t>
            </w:r>
          </w:p>
        </w:tc>
        <w:tc>
          <w:tcPr/>
          <w:p>
            <w:pPr>
              <w:pStyle w:val="Compact"/>
              <w:jc w:val="left"/>
            </w:pPr>
            <w:r>
              <w:t xml:space="preserve">z=1.29 (p = .198)</w:t>
            </w:r>
          </w:p>
        </w:tc>
        <w:tc>
          <w:tcPr/>
          <w:p>
            <w:pPr>
              <w:pStyle w:val="Compact"/>
              <w:jc w:val="left"/>
            </w:pPr>
            <w:r>
              <w:t xml:space="preserve">z=3.35 (p = .001)</w:t>
            </w:r>
          </w:p>
        </w:tc>
      </w:tr>
      <w:tr>
        <w:tc>
          <w:tcPr/>
          <w:p>
            <w:pPr>
              <w:pStyle w:val="Compact"/>
              <w:jc w:val="left"/>
            </w:pPr>
            <w:r>
              <w:t xml:space="preserve">2009 vs. 2023</w:t>
            </w:r>
          </w:p>
        </w:tc>
        <w:tc>
          <w:tcPr/>
          <w:p>
            <w:pPr>
              <w:pStyle w:val="Compact"/>
              <w:jc w:val="left"/>
            </w:pPr>
            <w:r>
              <w:t xml:space="preserve">z=0.09 (p = .926)</w:t>
            </w:r>
          </w:p>
        </w:tc>
        <w:tc>
          <w:tcPr/>
          <w:p>
            <w:pPr>
              <w:pStyle w:val="Compact"/>
              <w:jc w:val="left"/>
            </w:pPr>
            <w:r>
              <w:t xml:space="preserve">z=0.14 (p = .888)</w:t>
            </w:r>
          </w:p>
        </w:tc>
        <w:tc>
          <w:tcPr/>
          <w:p>
            <w:pPr>
              <w:pStyle w:val="Compact"/>
              <w:jc w:val="left"/>
            </w:pPr>
            <w:r>
              <w:t xml:space="preserve">z=1.42 (p = .155)</w:t>
            </w:r>
          </w:p>
        </w:tc>
        <w:tc>
          <w:tcPr/>
          <w:p>
            <w:pPr>
              <w:pStyle w:val="Compact"/>
              <w:jc w:val="left"/>
            </w:pPr>
            <w:r>
              <w:t xml:space="preserve">z=1.28 (p = .201)</w:t>
            </w:r>
          </w:p>
        </w:tc>
      </w:tr>
      <w:tr>
        <w:tc>
          <w:tcPr/>
          <w:p>
            <w:pPr>
              <w:pStyle w:val="Compact"/>
              <w:jc w:val="left"/>
            </w:pPr>
            <w:r>
              <w:t xml:space="preserve">2015 vs. 2023</w:t>
            </w:r>
          </w:p>
        </w:tc>
        <w:tc>
          <w:tcPr/>
          <w:p>
            <w:pPr>
              <w:pStyle w:val="Compact"/>
              <w:jc w:val="left"/>
            </w:pPr>
            <w:r>
              <w:t xml:space="preserve">z=0.66 (p = .509)</w:t>
            </w:r>
          </w:p>
        </w:tc>
        <w:tc>
          <w:tcPr/>
          <w:p>
            <w:pPr>
              <w:pStyle w:val="Compact"/>
              <w:jc w:val="left"/>
            </w:pPr>
            <w:r>
              <w:t xml:space="preserve">z=-0.84 (p = .400)</w:t>
            </w:r>
          </w:p>
        </w:tc>
        <w:tc>
          <w:tcPr/>
          <w:p>
            <w:pPr>
              <w:pStyle w:val="Compact"/>
              <w:jc w:val="left"/>
            </w:pPr>
            <w:r>
              <w:t xml:space="preserve">z=0.07 (p = .947)</w:t>
            </w:r>
          </w:p>
        </w:tc>
        <w:tc>
          <w:tcPr/>
          <w:p>
            <w:pPr>
              <w:pStyle w:val="Compact"/>
              <w:jc w:val="left"/>
            </w:pPr>
            <w:r>
              <w:t xml:space="preserve">z=-2.05 (p = .040)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a useful macro-level anchor, but one that aggregates across institutional contexts in which the functional form may vary substantially. Country-level heterogeneity in the I–P curve shape remains under-specified in that meta-analysis. Vietnam, as a single-party transitional economy with rapid but uneven digital infrastructure uptake,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w:t>
      </w:r>
      <m:oMath>
        <m:r>
          <m:t>β</m:t>
        </m:r>
        <m:r>
          <m:rPr>
            <m:sty m:val="p"/>
          </m:rPr>
          <m:t>=</m:t>
        </m:r>
        <m:r>
          <m:t>0.02</m:t>
        </m:r>
      </m:oMath>
      <w:r>
        <w:t xml:space="preserve">,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leads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w:t>
      </w:r>
      <w:r>
        <w:t xml:space="preserve"> </w:t>
      </w:r>
      <m:oMath>
        <m:r>
          <m:t>β</m:t>
        </m:r>
        <m:r>
          <m:rPr>
            <m:sty m:val="p"/>
          </m:rPr>
          <m:t>=</m:t>
        </m:r>
        <m:r>
          <m:t>0.179</m:t>
        </m:r>
      </m:oMath>
      <w:r>
        <w:t xml:space="preserve">, p &lt; .001; instrumented</w:t>
      </w:r>
      <w:r>
        <w:t xml:space="preserve"> </w:t>
      </w:r>
      <m:oMath>
        <m:r>
          <m:t>β</m:t>
        </m:r>
        <m:r>
          <m:rPr>
            <m:sty m:val="p"/>
          </m:rPr>
          <m:t>=</m:t>
        </m:r>
        <m:r>
          <m:t>1.639</m:t>
        </m:r>
      </m:oMath>
      <w:r>
        <w:t xml:space="preserve">)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w:t>
      </w:r>
      <m:oMath>
        <m:r>
          <m:t>β</m:t>
        </m:r>
        <m:r>
          <m:rPr>
            <m:sty m:val="p"/>
          </m:rPr>
          <m:t>=</m:t>
        </m:r>
        <m:r>
          <m:rPr>
            <m:sty m:val="p"/>
          </m:rPr>
          <m:t>−</m:t>
        </m:r>
        <m:r>
          <m:t>0.912</m:t>
        </m:r>
      </m:oMath>
      <w:r>
        <w:t xml:space="preserve">,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critically,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coordination capacity, contract enforcement, and trade-finance access,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1"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5">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6">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7">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8">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9">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0">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1">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2">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3">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4">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5">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6">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7">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8">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9">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0">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1">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2">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3">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4">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5">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6">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7">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8">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9">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0">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1">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2">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3">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4">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5">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6">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7">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8">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9">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0">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1">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2">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3">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4">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5">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7">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8">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9">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0">
        <w:r>
          <w:rPr>
            <w:rStyle w:val="Hyperlink"/>
          </w:rPr>
          <w:t xml:space="preserve">https://doi.org/10.1016/j.jwb.2015.09.001</w:t>
        </w:r>
      </w:hyperlink>
    </w:p>
    <w:bookmarkEnd w:id="131"/>
    <w:bookmarkEnd w:id="1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2026-05-23T04:40:31Z</dcterms:created>
  <dcterms:modified xsi:type="dcterms:W3CDTF">2026-05-23T04:40:31Z</dcterms:modified>
</cp:coreProperties>
</file>

<file path=docProps/custom.xml><?xml version="1.0" encoding="utf-8"?>
<Properties xmlns="http://schemas.openxmlformats.org/officeDocument/2006/custom-properties" xmlns:vt="http://schemas.openxmlformats.org/officeDocument/2006/docPropsVTypes"/>
</file>