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4"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its productivity relevance activates under cross-border coordination demands,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p>
      <w:pPr>
        <w:pStyle w:val="BodyText"/>
      </w:pPr>
      <w:r>
        <w:rPr>
          <w:bCs/>
          <w:b/>
        </w:rPr>
        <w:t xml:space="preserve">JEL Classification:</w:t>
      </w:r>
      <w:r>
        <w:t xml:space="preserve"> </w:t>
      </w:r>
      <w:r>
        <w:t xml:space="preserve">F23; O33; D22; L25; O53.</w:t>
      </w:r>
    </w:p>
    <w:p>
      <w:pPr>
        <w:pStyle w:val="BodyText"/>
      </w:pPr>
      <w:r>
        <w:rPr>
          <w:bCs/>
          <w:b/>
        </w:rPr>
        <w:t xml:space="preserve">Paper type:</w:t>
      </w:r>
      <w:r>
        <w:t xml:space="preserve"> </w:t>
      </w:r>
      <w:r>
        <w:t xml:space="preserve">Research paper.</w:t>
      </w:r>
    </w:p>
    <w:bookmarkEnd w:id="24"/>
    <w:bookmarkStart w:id="29" w:name="Xe3d0fc0bea9a42ce7605565d0964033d7f6ee47"/>
    <w:p>
      <w:pPr>
        <w:pStyle w:val="Heading2"/>
      </w:pPr>
      <w:r>
        <w:t xml:space="preserve">1 Introduction</w:t>
      </w:r>
    </w:p>
    <w:bookmarkStart w:id="25"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appear to function as hygiene factors for domestic operations rather than differentiating assets. This near-universal Tier 1–2 diffusion is enabled by Singapore's nationally deployed Digital Public Infrastructure, encompassing digital identity systems, payment rails, and data-exchange platforms, which the World Bank (2025a) identifies as the foundational enabling layer for firm-level digital adoption in advanced economies. Consistent with this, the Singapore sample reveals that 82% of firms report zero exports, while only 3% exceed 50% foreign sales to total sales, a striking domestic orientation despite the economy's mature digital infrastructure. As a result, the productivity returns to foundational digital adoption should not be expected to manifest uniformly across sampled firms; instead, they should become measurable primarily when firms face the intensified coordination and transaction demands of cross-border activity. Singapore therefore serves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5"/>
    <w:bookmarkStart w:id="26"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6"/>
    <w:bookmarkStart w:id="27"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Section 4.5 R1 indicator-sensitivity diagnostic further clarifies that the Tier-1+2 composition of DAI, combining website presence with two-way electronic-payment intensity,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Section 5.1 for the construct-boundary discussion).</w:t>
      </w:r>
    </w:p>
    <w:bookmarkEnd w:id="27"/>
    <w:bookmarkStart w:id="28"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8"/>
    <w:bookmarkEnd w:id="29"/>
    <w:bookmarkStart w:id="41" w:name="X8bf20a63f0decf7b16e99d564b9958ec4fbbb23"/>
    <w:p>
      <w:pPr>
        <w:pStyle w:val="Heading2"/>
      </w:pPr>
      <w:r>
        <w:t xml:space="preserve">2 Theory and Hypotheses</w:t>
      </w:r>
    </w:p>
    <w:bookmarkStart w:id="30"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30"/>
    <w:bookmarkStart w:id="31"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31"/>
    <w:bookmarkStart w:id="36" w:name="Xfeb3205642325e47f2817bab2cc060c9f999b02"/>
    <w:p>
      <w:pPr>
        <w:pStyle w:val="Heading3"/>
      </w:pPr>
      <w:r>
        <w:t xml:space="preserve">2.3 Hypothesis development</w:t>
      </w:r>
    </w:p>
    <w:bookmarkStart w:id="32"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32"/>
    <w:bookmarkStart w:id="33"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33"/>
    <w:bookmarkStart w:id="34"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4"/>
    <w:bookmarkStart w:id="35"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Section 4. The substitution and selection mechanisms are retained as alternative explanations to be assessed against the robustness evidence in Section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End w:id="35"/>
    <w:bookmarkEnd w:id="36"/>
    <w:bookmarkStart w:id="40"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 TCI and DAI moderating the I–P relationship (Singapore)" title="" id="38" name="Picture"/>
            <a:graphic>
              <a:graphicData uri="http://schemas.openxmlformats.org/drawingml/2006/picture">
                <pic:pic>
                  <pic:nvPicPr>
                    <pic:cNvPr descr="figures/p4_singapore/figure_1_conceptual_model.png" id="39" name="Picture"/>
                    <pic:cNvPicPr>
                      <a:picLocks noChangeArrowheads="1" noChangeAspect="1"/>
                    </pic:cNvPicPr>
                  </pic:nvPicPr>
                  <pic:blipFill>
                    <a:blip r:embed="rId37"/>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internationalisation intensity (FSTS, FSTS²_c), is placed at left; the dependent variable, ln(labour productivity), is placed at right. H1 (inverted-U tendency with support-constrained turning point ~88.6% FSTS, bootstrap CI [53%, 253%]) is grounded in coordination-cost theory (Hitt et al., 1997); the right-side decline is not formally identified within the observed FSTS range,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corroborating signal, not independent identification). ICRV context: Singapore — Advanced I. Data: WBES 2023; N = 623.</w:t>
      </w:r>
    </w:p>
    <w:bookmarkEnd w:id="40"/>
    <w:bookmarkEnd w:id="41"/>
    <w:bookmarkStart w:id="51" w:name="X167a2da0345881bf36eef0606d50b1063a572d3"/>
    <w:p>
      <w:pPr>
        <w:pStyle w:val="Heading2"/>
      </w:pPr>
      <w:r>
        <w:t xml:space="preserve">3 Methods</w:t>
      </w:r>
    </w:p>
    <w:bookmarkStart w:id="42"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a measurement implication that is borne out in the Section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Section 5.1 for the construct-boundary discussion). The Lind–Mehlum equivalence test result (p = .303) reported in Section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42"/>
    <w:bookmarkStart w:id="47" w:name="Xbcf9f12e79107fa2c089aaf13fc6c4fb773f1c2"/>
    <w:p>
      <w:pPr>
        <w:pStyle w:val="Heading3"/>
      </w:pPr>
      <w:r>
        <w:t xml:space="preserve">3.2 Variables</w:t>
      </w:r>
    </w:p>
    <w:bookmarkStart w:id="43"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43"/>
    <w:bookmarkStart w:id="44"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4"/>
    <w:bookmarkStart w:id="45"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from β = +3.119 (p = .005) in the Tier-1+2 specification to a smaller and statistically weaker estimate, while the Tier-1+2 full model's adjusted R² advantage is also reduced. This pattern is directionally consistent with the theoretical construct-boundary argument developed in Section 1.2 and Section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Section 1.3 supporting contribution on construct-tier specificity.</w:t>
      </w:r>
    </w:p>
    <w:bookmarkEnd w:id="45"/>
    <w:bookmarkStart w:id="46"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6"/>
    <w:bookmarkEnd w:id="47"/>
    <w:bookmarkStart w:id="48" w:name="X985ae65e21378cfd2c07e16fb9a8b07680cdc81"/>
    <w:p>
      <w:pPr>
        <w:pStyle w:val="Heading3"/>
      </w:pPr>
      <w:r>
        <w:t xml:space="preserve">3.2.5 Variable definitions</w:t>
      </w:r>
    </w:p>
    <w:p>
      <w:pPr>
        <w:pStyle w:val="FirstParagraph"/>
      </w:pPr>
      <w:r>
        <w:rPr>
          <w:bCs/>
          <w:b/>
        </w:rPr>
        <w:t xml:space="preserve">Table 0. Variable definitions and WBES item sources (Singapore 2023).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48"/>
    <w:bookmarkStart w:id="49"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 H1-TCI level effect):</w:t>
      </w:r>
      <w:r>
        <w:t xml:space="preserve"> </w:t>
      </w:r>
      <w:r>
        <w:t xml:space="preserve">ln(LP)ᵢ = α + β₁ FSTS_cᵢ + β₂ FSTS_c²ᵢ + β₃ TCI_zᵢ + γ·Xᵢ + δ_s + εᵢ</w:t>
      </w:r>
    </w:p>
    <w:p>
      <w:pPr>
        <w:pStyle w:val="BodyText"/>
      </w:pPr>
      <w:r>
        <w:rPr>
          <w:bCs/>
          <w:b/>
        </w:rPr>
        <w:t xml:space="preserve">M4 (TCI moderation,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Section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cross-sectional variation in trade costs, export-promotion eligibility, or broadband-rollout timing is not available within the survey frame —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Section 3.4 below for transparency, but is not treated as the primary specification. The associational nature of the OLS estimates is therefore acknowledged upfront, and inferential claims are bounded to within-context associations rather than causal effects.</w:t>
      </w:r>
    </w:p>
    <w:bookmarkEnd w:id="49"/>
    <w:bookmarkStart w:id="50"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Section 4 results can be presented without recurrent caveats and the Section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Section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but the appropriate reading of this null is not "the inverted-U fails", because the test is conditioned on dense support around the turning point, which the Section 3.4(i) sample-support boundary establishes is absent here. Read against the saturation hypothesis developed in Section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Section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w:t>
      </w:r>
      <m:oMath>
        <m:r>
          <m:t>β</m:t>
        </m:r>
        <m:r>
          <m:rPr>
            <m:sty m:val="p"/>
          </m:rPr>
          <m:t>=</m:t>
        </m:r>
        <m:r>
          <m:t>0.264</m:t>
        </m:r>
      </m:oMath>
      <w:r>
        <w:t xml:space="preserve">,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Section 4 results below are reported on this consolidated identification scope, and Section 5 interprets the substantive findings without further re-litigation of these boundary conditions.</w:t>
      </w:r>
    </w:p>
    <w:bookmarkEnd w:id="50"/>
    <w:bookmarkEnd w:id="51"/>
    <w:bookmarkStart w:id="63" w:name="X121719332867ee227f0a04b486098cee978c6e6"/>
    <w:p>
      <w:pPr>
        <w:pStyle w:val="Heading2"/>
      </w:pPr>
      <w:r>
        <w:t xml:space="preserve">4 Results</w:t>
      </w:r>
    </w:p>
    <w:bookmarkStart w:id="52"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52"/>
    <w:bookmarkStart w:id="53"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w:t>
      </w:r>
      <m:oMath>
        <m:r>
          <m:t>β</m:t>
        </m:r>
        <m:r>
          <m:rPr>
            <m:sty m:val="p"/>
          </m:rPr>
          <m:t>=</m:t>
        </m:r>
        <m:r>
          <m:rPr>
            <m:sty m:val="p"/>
          </m:rPr>
          <m:t>−</m:t>
        </m:r>
        <m:r>
          <m:t>1.705</m:t>
        </m:r>
      </m:oMath>
      <w:r>
        <w:t xml:space="preserve">,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53"/>
    <w:bookmarkStart w:id="54" w:name="Xbd081e7d38ad07e1e46d233e5fbc3c3c47a4f64"/>
    <w:p>
      <w:pPr>
        <w:pStyle w:val="Heading3"/>
      </w:pPr>
      <w:r>
        <w:t xml:space="preserve">4.3 TCI results</w:t>
      </w:r>
    </w:p>
    <w:p>
      <w:pPr>
        <w:pStyle w:val="FirstParagraph"/>
      </w:pPr>
      <w:r>
        <w:t xml:space="preserve">The direct-effect model for technological capability (Model M5) indicates that TCI is positively associated with labour productivity (</w:t>
      </w:r>
      <m:oMath>
        <m:r>
          <m:t>β</m:t>
        </m:r>
        <m:r>
          <m:rPr>
            <m:sty m:val="p"/>
          </m:rPr>
          <m:t>=</m:t>
        </m:r>
        <m:r>
          <m:t>0.168</m:t>
        </m:r>
      </m:oMath>
      <w:r>
        <w:t xml:space="preserve">,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w:t>
      </w:r>
      <m:oMath>
        <m:r>
          <m:t>β</m:t>
        </m:r>
        <m:r>
          <m:rPr>
            <m:sty m:val="p"/>
          </m:rPr>
          <m:t>=</m:t>
        </m:r>
        <m:r>
          <m:t>0.188</m:t>
        </m:r>
      </m:oMath>
      <w:r>
        <w:t xml:space="preserve">,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54"/>
    <w:bookmarkStart w:id="61"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w:t>
      </w:r>
      <m:oMath>
        <m:r>
          <m:t>β</m:t>
        </m:r>
        <m:r>
          <m:rPr>
            <m:sty m:val="p"/>
          </m:rPr>
          <m:t>=</m:t>
        </m:r>
        <m:r>
          <m:t>0.104</m:t>
        </m:r>
      </m:oMath>
      <w:r>
        <w:t xml:space="preserve">, SE = 0.038, p = .007). However, once TCI is included alongside DAI in Model M7, the DAI coefficient attenuates to</w:t>
      </w:r>
      <w:r>
        <w:t xml:space="preserve"> </w:t>
      </w:r>
      <m:oMath>
        <m:r>
          <m:t>β</m:t>
        </m:r>
        <m:r>
          <m:rPr>
            <m:sty m:val="p"/>
          </m:rPr>
          <m:t>=</m:t>
        </m:r>
        <m:r>
          <m:t>0.077</m:t>
        </m:r>
      </m:oMath>
      <w:r>
        <w:t xml:space="preserve"> </w:t>
      </w:r>
      <w:r>
        <w:t xml:space="preserve">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w:t>
      </w:r>
      <m:oMath>
        <m:r>
          <m:t>β</m:t>
        </m:r>
        <m:r>
          <m:rPr>
            <m:sty m:val="p"/>
          </m:rPr>
          <m:t>=</m:t>
        </m:r>
        <m:r>
          <m:t>0.019</m:t>
        </m:r>
      </m:oMath>
      <w:r>
        <w:t xml:space="preserve">, p = .705), the linear interaction with FSTS is negative but does not reach conventional significance (</w:t>
      </w:r>
      <m:oMath>
        <m:r>
          <m:t>β</m:t>
        </m:r>
        <m:r>
          <m:rPr>
            <m:sty m:val="p"/>
          </m:rPr>
          <m:t>=</m:t>
        </m:r>
        <m:r>
          <m:rPr>
            <m:sty m:val="p"/>
          </m:rPr>
          <m:t>−</m:t>
        </m:r>
        <m:r>
          <m:t>1.177</m:t>
        </m:r>
      </m:oMath>
      <w:r>
        <w:t xml:space="preserve">, p = .083), and the quadratic interaction term is positive and statistically significant (</w:t>
      </w:r>
      <m:oMath>
        <m:r>
          <m:t>β</m:t>
        </m:r>
        <m:r>
          <m:rPr>
            <m:sty m:val="p"/>
          </m:rPr>
          <m:t>=</m:t>
        </m:r>
        <m:r>
          <m:t>3.119</m:t>
        </m:r>
      </m:oMath>
      <w:r>
        <w:t xml:space="preserve">,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6" name="Picture"/>
            <a:graphic>
              <a:graphicData uri="http://schemas.openxmlformats.org/drawingml/2006/picture">
                <pic:pic>
                  <pic:nvPicPr>
                    <pic:cNvPr descr="figures/p4_singapore/figure_2_dai_marginal_effect.png" id="57" name="Picture"/>
                    <pic:cNvPicPr>
                      <a:picLocks noChangeArrowheads="1" noChangeAspect="1"/>
                    </pic:cNvPicPr>
                  </pic:nvPicPr>
                  <pic:blipFill>
                    <a:blip r:embed="rId55"/>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9" name="Picture"/>
            <a:graphic>
              <a:graphicData uri="http://schemas.openxmlformats.org/drawingml/2006/picture">
                <pic:pic>
                  <pic:nvPicPr>
                    <pic:cNvPr descr="figures/p4_singapore/figure_3_predicted_ip_curve.png" id="60" name="Picture"/>
                    <pic:cNvPicPr>
                      <a:picLocks noChangeArrowheads="1" noChangeAspect="1"/>
                    </pic:cNvPicPr>
                  </pic:nvPicPr>
                  <pic:blipFill>
                    <a:blip r:embed="rId58"/>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61"/>
    <w:bookmarkStart w:id="62" w:name="Xc8e997e14555d7ba8da5c1d596c5311617447cd"/>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Section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Section 3.4(ii) and is not repeated here. (ii)</w:t>
      </w:r>
      <w:r>
        <w:t xml:space="preserve"> </w:t>
      </w:r>
      <w:r>
        <w:rPr>
          <w:iCs/>
          <w:i/>
        </w:rPr>
        <w:t xml:space="preserve">Export participation selection</w:t>
      </w:r>
      <w:r>
        <w:t xml:space="preserve">: the inverse-Mills-ratio sensitivity diagnostic for selection at the extensive margin of exporting is reported at Section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62"/>
    <w:bookmarkEnd w:id="63"/>
    <w:bookmarkStart w:id="66" w:name="X735612638e4e736e4693e459c258977262c0dfc"/>
    <w:p>
      <w:pPr>
        <w:pStyle w:val="Heading2"/>
      </w:pPr>
      <w:r>
        <w:t xml:space="preserve">5 Discussion</w:t>
      </w:r>
    </w:p>
    <w:bookmarkStart w:id="64"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Section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for which no instrument satisfying the exclusion restriction is available in the single-wave Singapore design, and the Section 4.5 (ii) Heckman sensitivity diagnostic indicates mild but non-eliminating extensive-margin selection. Read together, the evidence supports amplification as the focal mechanism while retaining selection as a bounded residual concern, in line with the Section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as the Section 4.5 R1 specification shows: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website presence (c22b) combined with electronic payment integration (k33/k38) embedded in the public digital infrastructure, enabling firms to execute frictionless cross-border transactions. In contrast, in transitional economies where Tier-2 payment infrastructure remains institutionally bounded, settings where cross-border electronic-payment rails reached systemic scale only in the late 2010s, as documented across lower-middle-income Asia in World Bank digital infrastructure assessments (World Bank, 2023),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64"/>
    <w:bookmarkStart w:id="65"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5"/>
    <w:bookmarkEnd w:id="66"/>
    <w:bookmarkStart w:id="67"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7"/>
    <w:bookmarkStart w:id="68"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8"/>
    <w:bookmarkStart w:id="70"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9">
        <w:r>
          <w:rPr>
            <w:rStyle w:val="Hyperlink"/>
          </w:rPr>
          <w:t xml:space="preserve">www.enterprisesurveys.org</w:t>
        </w:r>
      </w:hyperlink>
      <w:r>
        <w:t xml:space="preserve">. Analysis scripts to replicate the results are available from the corresponding author on reasonable request.</w:t>
      </w:r>
    </w:p>
    <w:bookmarkEnd w:id="70"/>
    <w:bookmarkStart w:id="71"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71"/>
    <w:bookmarkStart w:id="72" w:name="funding"/>
    <w:p>
      <w:pPr>
        <w:pStyle w:val="Heading2"/>
      </w:pPr>
      <w:r>
        <w:t xml:space="preserve">Funding</w:t>
      </w:r>
    </w:p>
    <w:p>
      <w:pPr>
        <w:pStyle w:val="FirstParagraph"/>
      </w:pPr>
      <w:r>
        <w:t xml:space="preserve">This research received no external funding.</w:t>
      </w:r>
    </w:p>
    <w:bookmarkEnd w:id="72"/>
    <w:bookmarkStart w:id="73" w:name="conflict-of-interest"/>
    <w:p>
      <w:pPr>
        <w:pStyle w:val="Heading2"/>
      </w:pPr>
      <w:r>
        <w:t xml:space="preserve">Conflict of Interest</w:t>
      </w:r>
    </w:p>
    <w:p>
      <w:pPr>
        <w:pStyle w:val="FirstParagraph"/>
      </w:pPr>
      <w:r>
        <w:t xml:space="preserve">The authors declare no conflicts of interest.</w:t>
      </w:r>
    </w:p>
    <w:bookmarkEnd w:id="73"/>
    <w:bookmarkStart w:id="75"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74">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75"/>
    <w:bookmarkStart w:id="111"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76">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7">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8">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9">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 17</w:t>
      </w:r>
      <w:r>
        <w:t xml:space="preserve">(1), 99–120.</w:t>
      </w:r>
      <w:r>
        <w:t xml:space="preserve"> </w:t>
      </w:r>
      <w:hyperlink r:id="rId80">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1">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2">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3">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84">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5">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86">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7">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8">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9">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90">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91">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92">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93">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4">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5">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6">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7">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8">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9">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00">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101">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102">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03">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4">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5">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Section 1.1 and Section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6">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7">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8">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9">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0">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74">
        <w:r>
          <w:rPr>
            <w:rStyle w:val="Hyperlink"/>
          </w:rPr>
          <w:t xml:space="preserve">https://www.enterprisesurveys.org</w:t>
        </w:r>
      </w:hyperlink>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9" Target="http://www.enterprisesurveys.org" TargetMode="External" /><Relationship Type="http://schemas.openxmlformats.org/officeDocument/2006/relationships/hyperlink" Id="rId103" Target="https://doi.org/10.1002/gsj.1336" TargetMode="External" /><Relationship Type="http://schemas.openxmlformats.org/officeDocument/2006/relationships/hyperlink" Id="rId87" Target="https://doi.org/10.1002/smj.2399" TargetMode="External" /><Relationship Type="http://schemas.openxmlformats.org/officeDocument/2006/relationships/hyperlink" Id="rId105" Target="https://doi.org/10.1002/smj.2995" TargetMode="External" /><Relationship Type="http://schemas.openxmlformats.org/officeDocument/2006/relationships/hyperlink" Id="rId98" Target="https://doi.org/10.1007/s11135-006-9018-6" TargetMode="External" /><Relationship Type="http://schemas.openxmlformats.org/officeDocument/2006/relationships/hyperlink" Id="rId85" Target="https://doi.org/10.1007/s11575-007-0024-2"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90" Target="https://doi.org/10.1016/j.ibusrev.2017.07.003" TargetMode="External" /><Relationship Type="http://schemas.openxmlformats.org/officeDocument/2006/relationships/hyperlink" Id="rId84" Target="https://doi.org/10.1016/j.jbusres.2008.01.013" TargetMode="External" /><Relationship Type="http://schemas.openxmlformats.org/officeDocument/2006/relationships/hyperlink" Id="rId104" Target="https://doi.org/10.1016/j.jbusres.2019.09.022" TargetMode="External" /><Relationship Type="http://schemas.openxmlformats.org/officeDocument/2006/relationships/hyperlink" Id="rId77" Target="https://doi.org/10.1016/j.leaqua.2010.10.010" TargetMode="External" /><Relationship Type="http://schemas.openxmlformats.org/officeDocument/2006/relationships/hyperlink" Id="rId76" Target="https://doi.org/10.1037/0021-9010.90.1.94" TargetMode="External" /><Relationship Type="http://schemas.openxmlformats.org/officeDocument/2006/relationships/hyperlink" Id="rId86" Target="https://doi.org/10.1057/palgrave.jibs.8400003" TargetMode="External" /><Relationship Type="http://schemas.openxmlformats.org/officeDocument/2006/relationships/hyperlink" Id="rId101" Target="https://doi.org/10.1057/palgrave.jibs.8400073" TargetMode="External" /><Relationship Type="http://schemas.openxmlformats.org/officeDocument/2006/relationships/hyperlink" Id="rId100" Target="https://doi.org/10.1057/palgrave.jibs.8400377" TargetMode="External" /><Relationship Type="http://schemas.openxmlformats.org/officeDocument/2006/relationships/hyperlink" Id="rId97" Target="https://doi.org/10.1057/s41267-017-0078-8" TargetMode="External" /><Relationship Type="http://schemas.openxmlformats.org/officeDocument/2006/relationships/hyperlink" Id="rId79" Target="https://doi.org/10.1057/s41267-019-00243-7" TargetMode="External" /><Relationship Type="http://schemas.openxmlformats.org/officeDocument/2006/relationships/hyperlink" Id="rId78" Target="https://doi.org/10.1057/s41287-020-00328-2" TargetMode="External" /><Relationship Type="http://schemas.openxmlformats.org/officeDocument/2006/relationships/hyperlink" Id="rId93" Target="https://doi.org/10.1111/j.1468-0084.2009.00569.x" TargetMode="External" /><Relationship Type="http://schemas.openxmlformats.org/officeDocument/2006/relationships/hyperlink" Id="rId96" Target="https://doi.org/10.1177/0149206315624963" TargetMode="External" /><Relationship Type="http://schemas.openxmlformats.org/officeDocument/2006/relationships/hyperlink" Id="rId102" Target="https://doi.org/10.1177/0149206319846272" TargetMode="External" /><Relationship Type="http://schemas.openxmlformats.org/officeDocument/2006/relationships/hyperlink" Id="rId80" Target="https://doi.org/10.1177/014920639101700108" TargetMode="External" /><Relationship Type="http://schemas.openxmlformats.org/officeDocument/2006/relationships/hyperlink" Id="rId91" Target="https://doi.org/10.1177/2515245918770963" TargetMode="External" /><Relationship Type="http://schemas.openxmlformats.org/officeDocument/2006/relationships/hyperlink" Id="rId82" Target="https://doi.org/10.1257/mac.20180386" TargetMode="External" /><Relationship Type="http://schemas.openxmlformats.org/officeDocument/2006/relationships/hyperlink" Id="rId83" Target="https://doi.org/10.2307/2393553" TargetMode="External" /><Relationship Type="http://schemas.openxmlformats.org/officeDocument/2006/relationships/hyperlink" Id="rId81"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88" Target="https://doi.org/10.5465/amr.1984.4277628" TargetMode="External" /><Relationship Type="http://schemas.openxmlformats.org/officeDocument/2006/relationships/hyperlink" Id="rId99" Target="https://doi.org/10.5465/amr.2003.9416341"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6"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74" Target="https://www.enterprisesurveys.org" TargetMode="External" /><Relationship Type="http://schemas.openxmlformats.org/officeDocument/2006/relationships/hyperlink" Id="rId108" Target="https://www.imda.gov.sg/resources/press-releases-factsheets-and-speeches/press-releases/2025/asia-tech-x-singapore-turns-five" TargetMode="External" /><Relationship Type="http://schemas.openxmlformats.org/officeDocument/2006/relationships/hyperlink" Id="rId110" Target="https://www.startupblink.com/blog/innovators-business-environment-index/" TargetMode="External" /><Relationship Type="http://schemas.openxmlformats.org/officeDocument/2006/relationships/hyperlink" Id="rId109" Target="https://www.startupblink.com/startup-ecosystem/singapore" TargetMode="External" /><Relationship Type="http://schemas.openxmlformats.org/officeDocument/2006/relationships/hyperlink" Id="rId107" Target="https://www.tech.gov.sg/about-us/our-achievements/our-digital-government-rankings/"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2026-05-23T04:41:32Z</dcterms:created>
  <dcterms:modified xsi:type="dcterms:W3CDTF">2026-05-23T04:41:32Z</dcterms:modified>
</cp:coreProperties>
</file>

<file path=docProps/custom.xml><?xml version="1.0" encoding="utf-8"?>
<Properties xmlns="http://schemas.openxmlformats.org/officeDocument/2006/custom-properties" xmlns:vt="http://schemas.openxmlformats.org/officeDocument/2006/docPropsVTypes"/>
</file>