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4" w:name="abstract"/>
    <w:p>
      <w:pPr>
        <w:pStyle w:val="Heading2"/>
      </w:pPr>
      <w:r>
        <w:t xml:space="preserve">Abstract</w:t>
      </w:r>
    </w:p>
    <w:p>
      <w:pPr>
        <w:pStyle w:val="FirstParagraph"/>
      </w:pPr>
      <w:r>
        <w:rPr>
          <w:bCs/>
          <w:b/>
        </w:rPr>
        <w:t xml:space="preserve">Purpose</w:t>
      </w:r>
      <w:r>
        <w:t xml:space="preserve"> </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4"/>
    <w:bookmarkStart w:id="25"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5"/>
    <w:bookmarkStart w:id="26" w:name="Xe3d0fc0bea9a42ce7605565d0964033d7f6ee47"/>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while a parallel stream of work emphasises institutional context (Kirca et al., 2012), dynamic capabilities (Teece, 2007), and digital transformation (Nambisan, Wright and Feldman, 2019; Vial, 2019) as moderating conditions. Yet most studies draw on multi-country samples, use aggregate export-to-sales ratios as the internationalisation measure, and capture performance at a single cross-section (Shaver, 2020). Two questions that remain underexplored are (a) whether the inverted-U shape is itself temporally stable within a given institutional context and (b)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bracketing a decade of structural change—manufacturing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The study contributes to the I–P literature in three ways. First, it provides the first within-country, two-wave test of threshold stability for China using WBES data. Second, it operationalises technological capability through a validated composite index (TCI_full) rather than single-item proxies. Third, the null moderation finding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6"/>
    <w:bookmarkStart w:id="33" w:name="X8bf20a63f0decf7b16e99d564b9958ec4fbbb23"/>
    <w:p>
      <w:pPr>
        <w:pStyle w:val="Heading2"/>
      </w:pPr>
      <w:r>
        <w:t xml:space="preserve">2. Theory and Hypotheses</w:t>
      </w:r>
    </w:p>
    <w:bookmarkStart w:id="27" w:name="Xe089a51cf00ad631dbcdfa837bfcf2befbbb388"/>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because early export exposure generates learning, scale, and diversification gains (Johanson and Vahlne, 1977; Wagner, 2007), while beyond a threshold, coordination costs and resource diversion erode net returns (Hitt et al., 1997; Pierce and Aguinis, 2013), such that the FSTS–lnLP relationship follows an inverted-U (quadratic) form before export intensity exceeds the cost-benefit inflection point.</w:t>
      </w:r>
    </w:p>
    <w:bookmarkEnd w:id="27"/>
    <w:bookmarkStart w:id="28" w:name="Xf1c81d13fe998b882da119ca3ec3b3d40ce5a1b"/>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 “wave-specific” 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because structural shocks such as trade friction, BRI reorientation, and COVID-19 alter the cost-benefit calculus of internationalisation (Hitt et al., 1997; Xiao et al., 2013),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because the fundamental tension between learning-by-exporting gains and coordination-cost escalation is anchored to firm-level resource constraints rather than the macro environment (Bausch and Krist, 2007; Marano et al., 2016), so that the turning-point remains within a stable range regardless of the wave (structural-durability prediction).</w:t>
      </w:r>
    </w:p>
    <w:bookmarkEnd w:id="28"/>
    <w:bookmarkStart w:id="32" w:name="X505f50cd1f9abb1ab06672992aff36a1dc7f136"/>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because superior internal competencies reduce the coordination costs that normally truncate returns at moderate export intensity (Teece, 2007; Lall, 1992),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because capability may either extend or attenuate export-learning returns depending on the absorptive-capacity level of each firm (Lall, 1992; Avenyo et al., 2021),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because capability operates primarily as a level-shifter of productivity rather than a curvature-moderator (Avenyo et al., 2021), such that neither the turning-point location nor the slope coefficients vary systematically with TCI_full in either wave or the pooled model.</w:t>
      </w:r>
    </w:p>
    <w:p>
      <w:pPr>
        <w:pStyle w:val="FirstParagraph"/>
      </w:pPr>
      <w:r>
        <w:drawing>
          <wp:inline>
            <wp:extent cx="5753100" cy="3764110"/>
            <wp:effectExtent b="0" l="0" r="0" t="0"/>
            <wp:docPr descr="Figure 1: Conceptual model"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Section 4.5.</w:t>
      </w:r>
    </w:p>
    <w:p>
      <w:r>
        <w:pict>
          <v:rect style="width:0;height:1.5pt" o:hralign="center" o:hrstd="t" o:hr="t"/>
        </w:pict>
      </w:r>
    </w:p>
    <w:bookmarkEnd w:id="32"/>
    <w:bookmarkEnd w:id="33"/>
    <w:bookmarkStart w:id="37"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WBES 2024 overshoots private manufacturing SMEs,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4"/>
    <w:bookmarkStart w:id="35"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 China 2012 and 2024.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w:r>
        <w:t xml:space="preserve">TCI_full uses a richer 4-item composite than TCI_z in P3/P4 (2-item: quality cert + foreign technology adoption). DAI_core = Tier-1 proxy (website binary c22b), equivalent to DAI_z in P3. FSTS is not mean-centred (unlike FSTS_c in P3/P4); the turning-point formula TP = −β₁/(2β₂) is invariant to centring.</w:t>
      </w:r>
    </w:p>
    <w:bookmarkEnd w:id="35"/>
    <w:bookmarkStart w:id="36" w:name="X88d3b635b18ee197bee6ec760e4576787847be1"/>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 'panel core'),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−β₁ / (2β₂); Lind–Mehlum (2010) criteria verified for each wave.</w:t>
      </w:r>
    </w:p>
    <w:p>
      <w:pPr>
        <w:pStyle w:val="BodyText"/>
      </w:pPr>
      <w:r>
        <w:rPr>
          <w:bCs/>
          <w:b/>
        </w:rPr>
        <w:t xml:space="preserve">M3</w:t>
      </w:r>
      <w:r>
        <w:t xml:space="preserve"> </w:t>
      </w:r>
      <w:r>
        <w:t xml:space="preserve">(TCI_full level effect,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(TCI_full curvature moderation —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(DAI_core direct,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 β₁ upward (superior performers choose more exports), making the estimated positive FSTS slope an upper bound. The primary robustness against this concern is that (a) the turning-point estimate depends on the sign and magnitude of β₂, which is less susceptible to selection-direction bias than β₁, and (b) the structural stability of the inverted-U across two independent waves with distinct selection contexts (Paternoster z = +0.82, p =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pPr>
        <w:pStyle w:val="BodyText"/>
      </w:pPr>
      <w:r>
        <w:rPr>
          <w:bCs/>
          <w:b/>
        </w:rPr>
        <w:t xml:space="preserve">M6 (Three-way moderation — capability-conditioned cross-wave shift):</w:t>
      </w:r>
    </w:p>
    <w:p>
      <w:pPr>
        <w:pStyle w:val="BodyText"/>
      </w:pPr>
      <w:r>
        <w:t xml:space="preserve">$$\ln LP_{it} = \alpha + \b\beta_1 FSTS_{it} + \b\beta_2 FSTS^2_{it} + \b\beta_3 TCI_{it} + \b\beta_4 \text{wave}_t$$</w:t>
      </w:r>
    </w:p>
    <w:p>
      <w:pPr>
        <w:pStyle w:val="FirstParagraph"/>
      </w:pPr>
      <w:r>
        <w:t xml:space="preserve">$$+ \b\beta_5 (FSTS \times TCI)_{it} + \b\beta_6 (FSTS^2 \times TCI)_{it}$$</w:t>
      </w:r>
    </w:p>
    <w:p>
      <w:pPr>
        <w:pStyle w:val="FirstParagraph"/>
      </w:pPr>
      <w:r>
        <w:t xml:space="preserve">$$+ \b\beta_7 (FSTS \times \text{wave})_{it} + \b\beta_8 (FSTS^2 \times \text{wave})_{it}$$</w:t>
      </w:r>
    </w:p>
    <w:p>
      <w:pPr>
        <w:pStyle w:val="FirstParagraph"/>
      </w:pPr>
      <w:r>
        <w:t xml:space="preserve">$$+ \b\beta_9 (FSTS \times TCI \times \text{wave})_{it} + \beta_{10} (FSTS^2 \times TCI \times \text{wave})_{it}$$</w:t>
      </w:r>
    </w:p>
    <w:p>
      <w:pPr>
        <w:pStyle w:val="FirstParagraph"/>
      </w:pPr>
      <w:r>
        <w:t xml:space="preserve">$$+ \gamma \cdot X_{it} + \v\varepsilon_{it}$$</w:t>
      </w:r>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p>
    <w:p>
      <w:pPr>
        <w:numPr>
          <w:ilvl w:val="0"/>
          <w:numId w:val="1002"/>
        </w:numPr>
        <w:pStyle w:val="Compact"/>
      </w:pPr>
      <w:r>
        <w:rPr>
          <w:bCs/>
          <w:b/>
        </w:rPr>
        <w:t xml:space="preserve">F1</w:t>
      </w:r>
      <w:r>
        <w:t xml:space="preserve"> </w:t>
      </w:r>
      <w:r>
        <w:t xml:space="preserve">(cross-wave curvature shift): H₀: β₇ = β₈ = 0 [H2b null, turning point stable across waves]</w:t>
      </w:r>
    </w:p>
    <w:p>
      <w:pPr>
        <w:numPr>
          <w:ilvl w:val="0"/>
          <w:numId w:val="1002"/>
        </w:numPr>
        <w:pStyle w:val="Compact"/>
      </w:pPr>
      <w:r>
        <w:rPr>
          <w:bCs/>
          <w:b/>
        </w:rPr>
        <w:t xml:space="preserve">F2</w:t>
      </w:r>
      <w:r>
        <w:t xml:space="preserve"> </w:t>
      </w:r>
      <w:r>
        <w:t xml:space="preserve">(within-wave capability moderation): H₀: β₅ = β₆ = 0 [H3 null — TCI does not moderate I–P curve shape]</w:t>
      </w:r>
    </w:p>
    <w:p>
      <w:pPr>
        <w:numPr>
          <w:ilvl w:val="0"/>
          <w:numId w:val="1002"/>
        </w:numPr>
        <w:pStyle w:val="Compact"/>
      </w:pPr>
      <w:r>
        <w:rPr>
          <w:bCs/>
          <w:b/>
        </w:rPr>
        <w:t xml:space="preserve">F3</w:t>
      </w:r>
      <w:r>
        <w:t xml:space="preserve"> </w:t>
      </w:r>
      <w:r>
        <w:t xml:space="preserve">(capability-conditioned cross-wave shift): H₀: β₉ = β₁₀ = 0 [H4b null — TCI × wave shift is zero]</w:t>
      </w:r>
    </w:p>
    <w:p>
      <w:pPr>
        <w:pStyle w:val="FirstParagraph"/>
      </w:pPr>
      <w:r>
        <w:t xml:space="preserve">Results: F1 = 2.24, p = .107 (NOT rejected); F2 = 3.26, p = .039 (marginal; does not survive Bonferroni α* = .017); F3 = 0.27, p = .760 (NOT rejected). Consistent with H2b (structural durability) and H4b (null capability-curvature moderation).</w:t>
      </w:r>
    </w:p>
    <w:p>
      <w:r>
        <w:pict>
          <v:rect style="width:0;height:1.5pt" o:hralign="center" o:hrstd="t" o:hr="t"/>
        </w:pic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8"/>
    <w:bookmarkStart w:id="42" w:name="X34b83cd764295e21fd4e71e3151b388b8f2159e"/>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w:t>
      </w:r>
      <w:r>
        <w:t xml:space="preserve"> </w:t>
      </w:r>
      <m:oMath>
        <m:r>
          <m:t>β</m:t>
        </m:r>
        <m:r>
          <m:rPr>
            <m:sty m:val="p"/>
          </m:rPr>
          <m:t>=</m:t>
        </m:r>
        <m:r>
          <m:rPr>
            <m:sty m:val="p"/>
          </m:rPr>
          <m:t>−</m:t>
        </m:r>
        <m:r>
          <m:t>1.53</m:t>
        </m:r>
      </m:oMath>
      <w:r>
        <w:t xml:space="preserve">, SE = 0.42, p &lt; .001; 2024:</w:t>
      </w:r>
      <w:r>
        <w:t xml:space="preserve"> </w:t>
      </w:r>
      <m:oMath>
        <m:r>
          <m:t>β</m:t>
        </m:r>
        <m:r>
          <m:rPr>
            <m:sty m:val="p"/>
          </m:rPr>
          <m:t>=</m:t>
        </m:r>
        <m:r>
          <m:rPr>
            <m:sty m:val="p"/>
          </m:rPr>
          <m:t>−</m:t>
        </m:r>
        <m:r>
          <m:t>1.58</m:t>
        </m:r>
      </m:oMath>
      <w:r>
        <w:t xml:space="preserve">, SE = 0.50, p = .002); this positive linear and negative quadratic pattern is consistent with an inverted-U relationship in both waves, consistent with H1. Following Haans, Pieters, and He (2016), all four formal conditions for a genuine inverted-U are satisfied in both waves. For the 2012 wave: (C1) β₁ = +1.28 (p = .001), confirming a positive ascending limb; (C2) β₂ = −1.53 (p &lt; .001), confirming concavity; (C3) the turning point TP* = 49.4% lies within the observed FSTS range [0%, 100%]; and (C4) the marginal effect is positive at the lower data bound (FSTS ≈ 0%) and negative at the upper bound (FSTS ≈ 100%), with opposite signs confirmed by the Lind–Mehlum (2010) u-test. These four conditions hold equivalently for the 2024 wave (β₁ = +1.19, β₂ = −1.58, TP* = 47.2%, LM p &lt; .001) and the pooled specification.</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(β₁ shift: z = +0.82, p = .412) and FSTS² (β₂ shift: z = −0.61, p =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 β = +1.24 (p &lt; .001) and FSTS²</w:t>
      </w:r>
      <w:r>
        <w:t xml:space="preserve"> </w:t>
      </w:r>
      <m:oMath>
        <m:r>
          <m:t>β</m:t>
        </m:r>
        <m:r>
          <m:rPr>
            <m:sty m:val="p"/>
          </m:rPr>
          <m:t>=</m:t>
        </m:r>
        <m:r>
          <m:rPr>
            <m:sty m:val="p"/>
          </m:rPr>
          <m:t>−</m:t>
        </m:r>
        <m:r>
          <m:t>1.55</m:t>
        </m:r>
      </m:oMath>
      <w:r>
        <w:t xml:space="preserve"> </w:t>
      </w:r>
      <w:r>
        <w:t xml:space="preserve">(p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 Approximate 95% CIs for cross-wave coefficient differences (Δβ ± 1.96 × |Δβ|/|z|, using rounded table values as proxy): FSTS Δβ₁ ≈ +0.09, 95% CI ≈ [−0.13, +0.31]; FSTS² Δβ₂ ≈ −0.05, 95% CI ≈ [−0.21, +0.11]. Both CIs include zero, consistent with non-rejection at α = .05. Exact Δβ and SE values available in replication materials.</w:t>
      </w:r>
    </w:p>
    <w:p>
      <w:pPr>
        <w:pStyle w:val="BodyText"/>
      </w:pPr>
      <w:r>
        <w:drawing>
          <wp:inline>
            <wp:extent cx="5753100" cy="3010157"/>
            <wp:effectExtent b="0" l="0" r="0" t="0"/>
            <wp:docPr descr="Figure 2: Turning-point estimates with 95% CIs by wave (China)"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2"/>
    <w:bookmarkStart w:id="46" w:name="Xfe3c331420c241aa73c6296372277a6d3f913cb"/>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BodyText"/>
      </w:pPr>
      <w:r>
        <w:drawing>
          <wp:inline>
            <wp:extent cx="5753100" cy="3330862"/>
            <wp:effectExtent b="0" l="0" r="0" t="0"/>
            <wp:docPr descr="Figure 3: Predicted I–P curves by wave (China)"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6"/>
    <w:bookmarkStart w:id="50" w:name="X86f6006676d1e9a822b51b562b1655386d9e86b"/>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are more consistent with H4b (null capability-curvature moderation) than with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show positive and significant associations in both waves.</w:t>
      </w:r>
    </w:p>
    <w:bookmarkEnd w:id="50"/>
    <w:bookmarkStart w:id="51" w:name="Xdf31b4a83ae47f030a08265332b3138989411fc"/>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 leads to lnLP relationship via a sequential mediation path (TCI_full leads to DAI_core leads to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 “descriptive mechanism sketch” rather than a causal identification claim (Antonakis et al., 2010; Shaver, 2020).</w:t>
      </w:r>
    </w:p>
    <w:bookmarkEnd w:id="51"/>
    <w:bookmarkStart w:id="52" w:name="X7b68f907ed55e65a2ee44288bf21fafeaedb955"/>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2"/>
    <w:bookmarkEnd w:id="53"/>
    <w:bookmarkStart w:id="59" w:name="X735612638e4e736e4693e459c258977262c0dfc"/>
    <w:p>
      <w:pPr>
        <w:pStyle w:val="Heading2"/>
      </w:pPr>
      <w:r>
        <w:t xml:space="preserve">5. Discussion</w:t>
      </w:r>
    </w:p>
    <w:bookmarkStart w:id="54" w:name="Xa0c03496b4c04a1649263a3e01d0b00bd039955"/>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waves—BRI reorientation, trade friction, COVID-19—and challenges the environmental-determinism reading of I–P curvature (H2a). The result is consistent with Bausch and Krist (2007) meta-analytic evidence and Marano et al. (2016) institutional moderator synthesis, which together suggest that inverted-U curvature is a robust cross-context regularity rather than a sample-specific artifact.</w:t>
      </w:r>
    </w:p>
    <w:p>
      <w:pPr>
        <w:pStyle w:val="BodyText"/>
      </w:pPr>
      <w:r>
        <w:t xml:space="preserve">For Chinese private firms, the threshold around 48 % export intensity reflects a structural tension between learning-by-exporting gains (active below threshold) and coordination cost escalation (active above threshold) that is not mediated by a decade of policy and macroeconomic change. The implication for managers is that allocating more than roughly half of sales to direct exports tends to erode productivity regardless of decade or external environment.</w:t>
      </w:r>
    </w:p>
    <w:bookmarkEnd w:id="54"/>
    <w:bookmarkStart w:id="55" w:name="X662147d669ae611953db259d7b4d93f76a97e61"/>
    <w:p>
      <w:pPr>
        <w:pStyle w:val="Heading3"/>
      </w:pPr>
      <w:r>
        <w:t xml:space="preserve">5.2 Technological Capability as Level-Shifter</w:t>
      </w:r>
    </w:p>
    <w:p>
      <w:pPr>
        <w:pStyle w:val="FirstParagraph"/>
      </w:pPr>
      <w:r>
        <w:t xml:space="preserve">The null moderation finding, F2 = 3.26, p = .039, not surviving Bonferroni correction at α* = .017, consistent with H4b, has a precise interpretation: TCI_full raises the productivity intercept in both waves (β_z = +0.28 in 2012, +0.43 in 2024) but does not shift the turning-point location or change the curvature. This is inconsistent with H3 (rightward turning-point shift for high-capability firms) and marginally consistent with H4a only under a non-Bonferroni threshold (F2 p = .039). The finding recasts the role of technological capability from a curvature-moderator to a “level-shifter”: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5"/>
    <w:bookmarkStart w:id="56" w:name="Xeab358fda242154d2e818677c8845f988021d48"/>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(Section 4.5) suggests a partial mediation pathway (TCI leads to DAI leads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6"/>
    <w:bookmarkStart w:id="57" w:name="X47b33dbf897054d79ce3d759da46f0a1ef21be8"/>
    <w:p>
      <w:pPr>
        <w:pStyle w:val="Heading3"/>
      </w:pPr>
      <w:r>
        <w:t xml:space="preserve">5.4 Limitations</w:t>
      </w:r>
    </w:p>
    <w:p>
      <w:pPr>
        <w:pStyle w:val="FirstParagraph"/>
      </w:pPr>
      <w:r>
        <w:t xml:space="preserve">Four inferential bounds apply. First,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Second, labour productivity (log sales/employees)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Third, the TCI_full composite relies on self-reported WBES items, which introduces common-method bias within each wave; future work could triangulate with administrative patent or certification registry data to validate the composite. Fourth, the single-item DAI_core binary proxy cannot support strong conclusions about digital capability as a construct; a multi-item composite (Verhoef et al., 2021) would be needed to test the TCI–DAI mediation pathway rigorously.</w:t>
      </w:r>
    </w:p>
    <w:bookmarkEnd w:id="57"/>
    <w:bookmarkStart w:id="58" w:name="X6239b91c09f491af0efd332004cb71e9de7a16c"/>
    <w:p>
      <w:pPr>
        <w:pStyle w:val="Heading3"/>
      </w:pPr>
      <w:r>
        <w:t xml:space="preserve">5.5 Future Research</w:t>
      </w:r>
    </w:p>
    <w:p>
      <w:pPr>
        <w:pStyle w:val="FirstParagraph"/>
      </w:pPr>
      <w:r>
        <w:t xml:space="preserve">Several directions emerge from this study. First, future work should use WBES panel data (where available for other countries) to test within-firm temporal dynamics of the I–P threshold. Second, the level-shift strengthening of TCI_full between waves invites investigation of the mechanisms by which technological capability became more productivity-enhancing between 2012 and 2024. Third,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8"/>
    <w:bookmarkEnd w:id="59"/>
    <w:bookmarkStart w:id="60" w:name="X6b297cc947e0db5526be369b1f0f4ddc67b2415"/>
    <w:p>
      <w:pPr>
        <w:pStyle w:val="Heading2"/>
      </w:pPr>
      <w:r>
        <w:t xml:space="preserve">6. Conclusion</w:t>
      </w:r>
    </w:p>
    <w:p>
      <w:pPr>
        <w:pStyle w:val="FirstParagraph"/>
      </w:pPr>
      <w:r>
        <w:t xml:space="preserve">This study examined whether the inverted-U I–P relationship in Chinese private firms is structurally durable or wave-specific, and tested whether technological capability moderates the curvature. Using WBES microdata for China (2012 and 2024), we find that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60"/>
    <w:bookmarkStart w:id="62" w:name="acknowledgements"/>
    <w:p>
      <w:pPr>
        <w:pStyle w:val="Heading2"/>
      </w:pPr>
      <w:r>
        <w:t xml:space="preserve">Acknowledgements</w:t>
      </w:r>
    </w:p>
    <w:p>
      <w:pPr>
        <w:pStyle w:val="FirstParagraph"/>
      </w:pPr>
      <w:r>
        <w:t xml:space="preserve">Source: World Bank Enterprise Surveys,</w:t>
      </w:r>
      <w:r>
        <w:t xml:space="preserve"> </w:t>
      </w:r>
      <w:hyperlink r:id="rId61">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2"/>
    <w:bookmarkStart w:id="64"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w:t>
      </w:r>
      <w:r>
        <w:t xml:space="preserve"> </w:t>
      </w:r>
      <w:hyperlink r:id="rId63">
        <w:r>
          <w:rPr>
            <w:rStyle w:val="Hyperlink"/>
          </w:rPr>
          <w:t xml:space="preserve">https://www.enterprisesurveys.org</w:t>
        </w:r>
      </w:hyperlink>
      <w:r>
        <w:t xml:space="preserve">. Variable construction code and processed datasets are available from the corresponding author upon reasonable request.</w:t>
      </w:r>
    </w:p>
    <w:bookmarkEnd w:id="64"/>
    <w:bookmarkStart w:id="65"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p>
      <w:r>
        <w:pict>
          <v:rect style="width:0;height:1.5pt" o:hralign="center" o:hrstd="t" o:hr="t"/>
        </w:pict>
      </w:r>
    </w:p>
    <w:bookmarkEnd w:id="65"/>
    <w:bookmarkStart w:id="92"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[DOI pending; add upon assignment]</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9">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0">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1">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2">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6">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7">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9">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0">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1">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2">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3">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4">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5">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6">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7">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8">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9">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0">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1">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92"/>
    <w:bookmarkEnd w:id="9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2026-05-23T04:41:31Z</dcterms:created>
  <dcterms:modified xsi:type="dcterms:W3CDTF">2026-05-23T04:41:31Z</dcterms:modified>
</cp:coreProperties>
</file>

<file path=docProps/custom.xml><?xml version="1.0" encoding="utf-8"?>
<Properties xmlns="http://schemas.openxmlformats.org/officeDocument/2006/custom-properties" xmlns:vt="http://schemas.openxmlformats.org/officeDocument/2006/docPropsVTypes"/>
</file>