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pPr>
        <w:pStyle w:val="BodyText"/>
      </w:pPr>
      <w:r>
        <w:rPr>
          <w:bCs/>
          <w:b/>
        </w:rPr>
        <w:t xml:space="preserve">JEL Classification:</w:t>
      </w:r>
      <w:r>
        <w:t xml:space="preserve"> </w:t>
      </w:r>
      <w:r>
        <w:t xml:space="preserve">F23; O19; L25; D22; O53.</w:t>
      </w:r>
    </w:p>
    <w:p>
      <w:pPr>
        <w:pStyle w:val="BodyText"/>
      </w:pPr>
      <w:r>
        <w:rPr>
          <w:bCs/>
          <w:b/>
        </w:rPr>
        <w:t xml:space="preserve">Paper type:</w:t>
      </w:r>
      <w:r>
        <w:t xml:space="preserve"> </w:t>
      </w:r>
      <w:r>
        <w:t xml:space="preserve">Research paper.</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as in Pacific Small Island Developing States (SIDS),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1,469 firms across nine Pacific SIDS economies (2009–2025), we find that internationalization intensity is robustly and negatively associated with labor productivity. Specifically,</w:t>
      </w:r>
      <w:r>
        <w:t xml:space="preserve"> </w:t>
      </w:r>
      <m:oMath>
        <m:r>
          <m:t>β</m:t>
        </m:r>
        <m:r>
          <m:rPr>
            <m:sty m:val="p"/>
          </m:rPr>
          <m:t>=</m:t>
        </m:r>
        <m:r>
          <m:rPr>
            <m:sty m:val="p"/>
          </m:rPr>
          <m:t>−</m:t>
        </m:r>
        <m:r>
          <m:t>0.404</m:t>
        </m:r>
      </m:oMath>
      <w:r>
        <w:t xml:space="preserve">, p = .032 in the country-and-year fixed-effects specification, and</w:t>
      </w:r>
      <w:r>
        <w:t xml:space="preserve"> </w:t>
      </w:r>
      <m:oMath>
        <m:r>
          <m:t>β</m:t>
        </m:r>
        <m:r>
          <m:rPr>
            <m:sty m:val="p"/>
          </m:rPr>
          <m:t>=</m:t>
        </m:r>
        <m:r>
          <m:rPr>
            <m:sty m:val="p"/>
          </m:rPr>
          <m:t>−</m:t>
        </m:r>
        <m:r>
          <m:t>1.236</m:t>
        </m:r>
      </m:oMath>
      <w:r>
        <w:t xml:space="preserve">, p &lt; .001 without country fixed effects, with no significant quadratic curvature. Technological capability and digital adoption, both significant moderators in mainland Asian contexts, are null in the SIDS environment. This pattern is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characteristic of Small Island Developing States (SIDS),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(poverty, life expectancy, schooling, gender equality, climate, and electricity) finds the world developing at its slowest pace in 75 years. Some 54 economies remain more than a century from reaching developed-country standards at current trajectories, and SIDS are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survival-based internationalization, fundamentally alters the logic of the I-P relationship.</w:t>
      </w:r>
    </w:p>
    <w:p>
      <w:pPr>
        <w:pStyle w:val="BodyText"/>
      </w:pPr>
      <w:r>
        <w:t xml:space="preserve">This paper makes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1,469 firms across nine Pacific SIDS economies using World Bank Enterprise Survey (WBES) data, the most comprehensive firm-level I-P analysis in Pacific SIDS to date. Third, we document that firm-level capabilities (technological capability, digital adoption) do not appear to override FIP, shifting the theoretical conversation from "institutional moderation of the I-P relationship" (Marano, Tallman, &amp; Teece, 2016) to "institutional determination of the sign of I-P relationship."</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p>
      <w:r>
        <w:pict>
          <v:rect style="width:0;height:1.5pt" o:hralign="center" o:hrstd="t" o:hr="t"/>
        </w:pic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Beyond a threshold, however,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 "selection into exporting" assumption underlying most I-P models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absent financial intermediaries, unreliable contract enforcement, limited trade facilitation infrastructure, do not merely weaken the inverted-U; they may eliminate the mechanism generating positive returns from internationalization 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indicating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achieve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observations with non-missing values for labor productivity, export intensity, and firm age, comprises</w:t>
      </w:r>
      <w:r>
        <w:t xml:space="preserve"> </w:t>
      </w:r>
      <w:r>
        <w:rPr>
          <w:bCs/>
          <w:b/>
        </w:rPr>
        <w:t xml:space="preserve">1,469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the first step of digital presence. It is appropriate for the SIDS context where advanced digital infrastructure is limited,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FIP test)</w:t>
      </w:r>
      <w:r>
        <w:t xml:space="preserve">:</w:t>
      </w:r>
      <w:r>
        <w:t xml:space="preserve"> </w:t>
      </w:r>
      <w:r>
        <w:t xml:space="preserve">ln_LP_it = α + β₁ FSTS_c_it + γ·X_it + δ_c + λ_t + ε_it</w:t>
      </w:r>
    </w:p>
    <w:p>
      <w:pPr>
        <w:pStyle w:val="BodyText"/>
      </w:pPr>
      <w:r>
        <w:rPr>
          <w:bCs/>
          <w:b/>
        </w:rPr>
        <w:t xml:space="preserve">M2 (quadratic FSTS, curvature test)</w:t>
      </w:r>
      <w:r>
        <w:t xml:space="preserve">:</w:t>
      </w:r>
      <w:r>
        <w:t xml:space="preserve"> </w:t>
      </w:r>
      <w:r>
        <w:t xml:space="preserve">ln_LP_it = α + β₁ FSTS_c_it + β₂ FSTS_c²_it + γ·X_it + δ_c + λ_t + ε_it</w:t>
      </w:r>
    </w:p>
    <w:p>
      <w:pPr>
        <w:pStyle w:val="BodyText"/>
      </w:pPr>
      <w:r>
        <w:rPr>
          <w:bCs/>
          <w:b/>
        </w:rPr>
        <w:t xml:space="preserve">M3 (capabilities,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adding FSTS_c in M1 marginally increases R² to 0.8001,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w:t>
      </w:r>
      <m:oMath>
        <m:r>
          <m:t>β</m:t>
        </m:r>
        <m:r>
          <m:rPr>
            <m:sty m:val="p"/>
          </m:rPr>
          <m:t>=</m:t>
        </m:r>
        <m:r>
          <m:rPr>
            <m:sty m:val="p"/>
          </m:rPr>
          <m:t>−</m:t>
        </m:r>
        <m:r>
          <m:t>0.006</m:t>
        </m:r>
      </m:oMath>
      <w:r>
        <w:t xml:space="preserve">, p = .056), perhaps reflecting thin foreign investment efficiency in SIDS contexts; firm size is positive but non-significant (β = +0.082, p = .242).</w:t>
      </w:r>
    </w:p>
    <w:bookmarkEnd w:id="32"/>
    <w:bookmarkStart w:id="33" w:name="X278b3f0cc4133671f70c21e2e288fdaa4a06e72"/>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 FSTS_c² to test whether the negative I-P relationship is eventually reversed,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 0.649) = 0.712,</w:t>
      </w:r>
      <w:r>
        <w:t xml:space="preserve"> </w:t>
      </w:r>
      <w:r>
        <w:rPr>
          <w:bCs/>
          <w:b/>
        </w:rPr>
        <w:t xml:space="preserve">implied turning point lies outside the observed sample maximum (FSTS_max ≈ 0.80, but neither β₁ nor β₂ is statistically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which might absorb too much structural variation,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the hallmark of the FIP mechanism rather than adverse selection.</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w:t>
      </w:r>
      <m:oMath>
        <m:r>
          <m:t>β</m:t>
        </m:r>
        <m:r>
          <m:rPr>
            <m:sty m:val="p"/>
          </m:rPr>
          <m:t>=</m:t>
        </m:r>
        <m:r>
          <m:rPr>
            <m:sty m:val="p"/>
          </m:rPr>
          <m:t>−</m:t>
        </m:r>
        <m:r>
          <m:t>0.974</m:t>
        </m:r>
      </m:oMath>
      <w:r>
        <w:t xml:space="preserve">,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(TCI_z: β = +0.058, SE = 0.085, p = .495) and digital adoption (DAI_z: β = +0.062, SE = 0.073, p = .402) do not statistically significantly moderate the I-P relationship in Pacific SIDS, consistent with the FIP mechanism overwhelming capability effects in structurally constrained SIDS economies. The positive point estimates for TCI_z and DAI_z, while small and non-significant,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across four points. (i) a statistically significant negative linear FSTS–performance relationship (M1:</w:t>
      </w:r>
      <w:r>
        <w:t xml:space="preserve"> </w:t>
      </w:r>
      <m:oMath>
        <m:r>
          <m:t>β</m:t>
        </m:r>
        <m:r>
          <m:rPr>
            <m:sty m:val="p"/>
          </m:rPr>
          <m:t>=</m:t>
        </m:r>
        <m:r>
          <m:rPr>
            <m:sty m:val="p"/>
          </m:rPr>
          <m:t>−</m:t>
        </m:r>
        <m:r>
          <m:t>0.404</m:t>
        </m:r>
      </m:oMath>
      <w:r>
        <w:t xml:space="preserve">, p = .032). (ii) no significant quadratic curvature or turning point (M2: both FSTS_c and FSTS_c² non-significant); (iii) robustly negative across four specifications (M_yearFE:</w:t>
      </w:r>
      <w:r>
        <w:t xml:space="preserve"> </w:t>
      </w:r>
      <m:oMath>
        <m:r>
          <m:t>β</m:t>
        </m:r>
        <m:r>
          <m:rPr>
            <m:sty m:val="p"/>
          </m:rPr>
          <m:t>=</m:t>
        </m:r>
        <m:r>
          <m:rPr>
            <m:sty m:val="p"/>
          </m:rPr>
          <m:t>−</m:t>
        </m:r>
        <m:r>
          <m:t>1.236</m:t>
        </m:r>
      </m:oMath>
      <w:r>
        <w:t xml:space="preserve">, p &lt; .001; M_bivariate:</w:t>
      </w:r>
      <w:r>
        <w:t xml:space="preserve"> </w:t>
      </w:r>
      <m:oMath>
        <m:r>
          <m:t>β</m:t>
        </m:r>
        <m:r>
          <m:rPr>
            <m:sty m:val="p"/>
          </m:rPr>
          <m:t>=</m:t>
        </m:r>
        <m:r>
          <m:rPr>
            <m:sty m:val="p"/>
          </m:rPr>
          <m:t>−</m:t>
        </m:r>
        <m:r>
          <m:t>1.596</m:t>
        </m:r>
      </m:oMath>
      <w:r>
        <w:t xml:space="preserve">, p &lt; .001; exporters-only:</w:t>
      </w:r>
      <w:r>
        <w:t xml:space="preserve"> </w:t>
      </w:r>
      <m:oMath>
        <m:r>
          <m:t>β</m:t>
        </m:r>
        <m:r>
          <m:rPr>
            <m:sty m:val="p"/>
          </m:rPr>
          <m:t>=</m:t>
        </m:r>
        <m:r>
          <m:rPr>
            <m:sty m:val="p"/>
          </m:rPr>
          <m:t>−</m:t>
        </m:r>
        <m:r>
          <m:t>0.901</m:t>
        </m:r>
      </m:oMath>
      <w:r>
        <w:t xml:space="preserve">, p = .027); and (iv) null capability moderation (M3: TCI_z p = .495; DAI_z p = .402).</w:t>
      </w:r>
    </w:p>
    <w:p>
      <w:r>
        <w:pict>
          <v:rect style="width:0;height:1.5pt" o:hralign="center" o:hrstd="t" o:hr="t"/>
        </w:pic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firms cannot accumulate the home-base resources and organizational capabilities that fund and sustain profitable internationalization. When trade costs amplify export revenues' "cost of doing business" by 30–210% (Winters &amp; Martins, 2004), the marginal economics of exporting are negative from the outset. When institutional voids are comprehensive, absent trade finance intermediaries, unreliable contract enforcement, limited standards infrastructure,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 "weaker moderation" to "violated prerequisites," the sign, not just the magnitude,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simultaneously, the I-P functional form is not a modified inverted-U but a qualitatively different pattern (monotone negative). This extends the theoretical vocabulary of IB research beyond "intensity moderation" toward "existence moderation" 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not merely in need of adjustment, but representing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Vietnam, Singapore, China, and multi-country samples, technological capability and digital adoption are statistically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 the firm, unable to translate into performance advantages through international market transactions.</w:t>
      </w:r>
    </w:p>
    <w:p>
      <w:pPr>
        <w:pStyle w:val="BodyText"/>
      </w:pPr>
      <w:r>
        <w:t xml:space="preserve">The positive, though non-significant,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capabilities help the level, not the slope,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simultaneously addressing the violated structural prerequisites,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standards bodies, trade finance intermediaries, export promotion agencies with genuine capacity,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where available for Fiji and Papua New Guinea, which have two waves, could strengthen causal identification.</w:t>
      </w:r>
    </w:p>
    <w:p>
      <w:pPr>
        <w:pStyle w:val="BodyText"/>
      </w:pPr>
      <w:r>
        <w:t xml:space="preserve">Second,</w:t>
      </w:r>
      <w:r>
        <w:t xml:space="preserve"> </w:t>
      </w:r>
      <w:r>
        <w:rPr>
          <w:bCs/>
          <w:b/>
        </w:rPr>
        <w:t xml:space="preserve">FSTS measurement in thin-export contexts</w:t>
      </w:r>
      <w:r>
        <w:t xml:space="preserve">: with mean FSTS of 0.060 and only 12.7% exporters, the FSTS distribution is highly 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Saharan micro-states, remote highland economies, post-conflict settings, may exhibit similar patterns. Caribbean SIDS (not included in our sample) represent a natural extension context.</w:t>
      </w:r>
    </w:p>
    <w:p>
      <w:r>
        <w:pict>
          <v:rect style="width:0;height:1.5pt" o:hralign="center" o:hrstd="t" o:hr="t"/>
        </w:pic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1,469 firms across nine Pacific SIDS economies, we find robust support for FIP across four empirical specifications:</w:t>
      </w:r>
      <w:r>
        <w:t xml:space="preserve"> </w:t>
      </w:r>
      <m:oMath>
        <m:r>
          <m:t>β</m:t>
        </m:r>
        <m:r>
          <m:rPr>
            <m:sty m:val="p"/>
          </m:rPr>
          <m:t>=</m:t>
        </m:r>
        <m:r>
          <m:rPr>
            <m:sty m:val="p"/>
          </m:rPr>
          <m:t>−</m:t>
        </m:r>
        <m:r>
          <m:t>0.404</m:t>
        </m:r>
      </m:oMath>
      <w:r>
        <w:t xml:space="preserve">, p = .032 in the primary country-and-year fixed-effects model;</w:t>
      </w:r>
      <w:r>
        <w:t xml:space="preserve"> </w:t>
      </w:r>
      <m:oMath>
        <m:r>
          <m:t>β</m:t>
        </m:r>
        <m:r>
          <m:rPr>
            <m:sty m:val="p"/>
          </m:rPr>
          <m:t>=</m:t>
        </m:r>
        <m:r>
          <m:rPr>
            <m:sty m:val="p"/>
          </m:rPr>
          <m:t>−</m:t>
        </m:r>
        <m:r>
          <m:t>1.236</m:t>
        </m:r>
      </m:oMath>
      <w:r>
        <w:t xml:space="preserve">, p &lt; .001 without country fixed effects; and</w:t>
      </w:r>
      <w:r>
        <w:t xml:space="preserve"> </w:t>
      </w:r>
      <m:oMath>
        <m:r>
          <m:t>β</m:t>
        </m:r>
        <m:r>
          <m:rPr>
            <m:sty m:val="p"/>
          </m:rPr>
          <m:t>=</m:t>
        </m:r>
        <m:r>
          <m:rPr>
            <m:sty m:val="p"/>
          </m:rPr>
          <m:t>−</m:t>
        </m:r>
        <m:r>
          <m:t>0.901</m:t>
        </m:r>
      </m:oMath>
      <w:r>
        <w:t xml:space="preserve">, p = .027 in the exporters-only subsample. The quadratic term is not significant, confirming the monotone negative form with no observable turning point. Technological capability and digital adoption, significant in mainland Asian contexts, are null in the SIDS environment, consistent with the FIP theoretical mechanism.</w:t>
      </w:r>
    </w:p>
    <w:p>
      <w:pPr>
        <w:pStyle w:val="BodyText"/>
      </w:pPr>
      <w:r>
        <w:t xml:space="preserve">These findings contribute to IB theory in two ways. First, they help reorient the discourse on institutional effects from "institutional moderation of I-P intensity" to "institutional determination of I-P sign," suggesting that the inverted-U may be conditional on structural prerequisites rather than broadly applicable across contexts. Second, they extend the application of "forced internationalization" 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not merely the intensification of export activity per se.</w:t>
      </w:r>
    </w:p>
    <w:p>
      <w:r>
        <w:pict>
          <v:rect style="width:0;height:1.5pt" o:hralign="center" o:hrstd="t" o:hr="t"/>
        </w:pict>
      </w:r>
    </w:p>
    <w:bookmarkEnd w:id="44"/>
    <w:bookmarkStart w:id="48"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5">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6">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8"/>
    <w:bookmarkStart w:id="52" w:name="appendix-a-tables"/>
    <w:p>
      <w:pPr>
        <w:pStyle w:val="Heading2"/>
      </w:pPr>
      <w:r>
        <w:t xml:space="preserve">Appendix A: Tables</w:t>
      </w:r>
    </w:p>
    <w:bookmarkStart w:id="49"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Timor-Leste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Comoros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9"/>
    <w:bookmarkStart w:id="50"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β(FSTS_c) = −0.404, p = .032 (M1).</w:t>
      </w:r>
    </w:p>
    <w:bookmarkEnd w:id="50"/>
    <w:bookmarkStart w:id="51" w:name="X25c22aea567cfc6fb497c5a2142ec453d3ebd11"/>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w:t>
      </w:r>
      <m:oMath>
        <m:r>
          <m:t>β</m:t>
        </m:r>
        <m:r>
          <m:rPr>
            <m:sty m:val="p"/>
          </m:rPr>
          <m:t>=</m:t>
        </m:r>
        <m:r>
          <m:rPr>
            <m:sty m:val="p"/>
          </m:rPr>
          <m:t>−</m:t>
        </m:r>
        <m:r>
          <m:t>0.901</m:t>
        </m:r>
      </m:oMath>
      <w:r>
        <w:rPr>
          <w:iCs/>
          <w:i/>
        </w:rPr>
        <w:t xml:space="preserve">) addresses adverse selection concern: among active exporters, intensifying exports further worsens performance.</w:t>
      </w:r>
    </w:p>
    <w:bookmarkEnd w:id="51"/>
    <w:bookmarkEnd w:id="52"/>
    <w:bookmarkEnd w:id="5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2026-05-23T04:41:28Z</dcterms:created>
  <dcterms:modified xsi:type="dcterms:W3CDTF">2026-05-23T04:41:28Z</dcterms:modified>
</cp:coreProperties>
</file>

<file path=docProps/custom.xml><?xml version="1.0" encoding="utf-8"?>
<Properties xmlns="http://schemas.openxmlformats.org/officeDocument/2006/custom-properties" xmlns:vt="http://schemas.openxmlformats.org/officeDocument/2006/docPropsVTypes"/>
</file>