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3.png" ContentType="image/png"/>
  <Override PartName="/word/media/rId46.png" ContentType="image/png"/>
  <Override PartName="/word/media/rId49.png" ContentType="image/png"/>
  <Override PartName="/word/media/rId52.png" ContentType="image/png"/>
  <Override PartName="/word/media/rId5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iCs/>
          <w:i/>
        </w:rPr>
        <w:t xml:space="preserve">Submitted to: Journal of Economics and Development (JED), National Economics University / Emerald Publishing</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TCI and DAI interactions with FSTS).</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rPr>
          <w:bCs/>
          <w:b/>
        </w:rPr>
        <w:t xml:space="preserve">Design/methodology/approach:</w:t>
      </w:r>
      <w:r>
        <w:t xml:space="preserve"> </w:t>
      </w:r>
      <w:r>
        <w:t xml:space="preserve">Three waves of World Bank Enterprise Survey (Vietnam 2009, 2015, 2023; N = 2,958) underpin wave-specific and pooled OLS models with HC1 standard errors, quadratic FSTS terms, and capability interactions. TCI (quality certification, foreign-licensed technology) is the primary construct; a Tier-1 website indicator serves as digital-presence control.</w:t>
      </w:r>
    </w:p>
    <w:p>
      <w:pPr>
        <w:pStyle w:val="BodyText"/>
      </w:pPr>
      <w:r>
        <w:rPr>
          <w:bCs/>
          <w:b/>
        </w:rPr>
        <w:t xml:space="preserve">Findings:</w:t>
      </w:r>
      <w:r>
        <w:t xml:space="preserve"> </w:t>
      </w:r>
      <w:r>
        <w:t xml:space="preserve">An inverted-U between export intensity and labour productivity holds across all three waves, with turning points clustered between 39% and 46%, a durable band over 14 years. The nonlinearity reflects a participation-margin effect: on exporters only, the quadratic term loses significance. TCI positively moderates productivity and the I–P curvature across waves. The website indicator follows a proxy-obsolescence trajectory: positive in 2009, null in 2015, negatively interactive in 2023.</w:t>
      </w:r>
    </w:p>
    <w:p>
      <w:pPr>
        <w:pStyle w:val="BodyText"/>
      </w:pPr>
      <w:r>
        <w:rPr>
          <w:bCs/>
          <w:b/>
        </w:rPr>
        <w:t xml:space="preserve">Originality/value:</w:t>
      </w:r>
      <w:r>
        <w:t xml:space="preserve"> </w:t>
      </w:r>
      <w:r>
        <w:t xml:space="preserve">The inverted-U in this zero-inflated setting reflects a participation-barrier effect rather than intensity saturation; pooled Tier-1 coefficients mask progressive proxy obsolescence. The institutionally embedded turning-point cluster (39–46% FSTS) shifts the debate from 'does internationalisation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O33, D22, L25, O53.</w:t>
      </w:r>
    </w:p>
    <w:p>
      <w:pPr>
        <w:pStyle w:val="BodyText"/>
      </w:pPr>
      <w:r>
        <w:t xml:space="preserve">Paper type: Research paper.</w:t>
      </w:r>
    </w:p>
    <w:bookmarkEnd w:id="20"/>
    <w:bookmarkStart w:id="21"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roughly half of firms (49.8 % in 2023 vs 42.5 % in 2009), not as evidence on dynamic digital capability moderation.</w:t>
      </w:r>
    </w:p>
    <w:bookmarkEnd w:id="21"/>
    <w:bookmarkStart w:id="26" w:name="Xe3d0fc0bea9a42ce7605565d0964033d7f6ee47"/>
    <w:p>
      <w:pPr>
        <w:pStyle w:val="Heading2"/>
      </w:pPr>
      <w:r>
        <w:t xml:space="preserve">1. Introduction</w:t>
      </w:r>
    </w:p>
    <w:bookmarkStart w:id="22"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w:t>
      </w:r>
      <w:r>
        <w:t xml:space="preserve"> </w:t>
      </w:r>
      <w:r>
        <w:t xml:space="preserve">Digitalisation adds a further layer of complexity to this debate. Digital tools can reduce 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the productivity gap between firms that cross from non-exporting to any positive export intensity,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2"/>
    <w:bookmarkStart w:id="23" w:name="X2961a496af63dca26d6e29b654ead2e696c6fdd"/>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p>
      <w:pPr>
        <w:pStyle w:val="BodyText"/>
      </w:pPr>
      <w:r>
        <w:t xml:space="preserve">Recent meta-analytic work reinforces this concern. Pisani, Garcia-Bernardo, and Heemskerk (2020, SMJ) find that the inverted-U relationship between internationalisation and performance weakens substantially, and sometimes disappears,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which hold institutional context constant while varying time,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at 45.8% of total trade value, displacing the historically dominant textiles cluster, reflecting a structural upgrade in production capability that proceeded in parallel with the three survey waves (World Bank, 2025c).</w:t>
      </w:r>
    </w:p>
    <w:bookmarkEnd w:id="23"/>
    <w:bookmarkStart w:id="24" w:name="X494b14dde48fd709c427dcfac91526fdde5ec7e"/>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suggests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cross-wave, stage-dependency interpretation of digital internationalisation. Because the WBES data are repeated cross-sections rather than a firm panel, within-firm trajectories cannot be directly observed; the cross-wave evidence nonetheless suggests that digital capability is neither a universally stable premium nor a uniformly ineffective resource. Instead, it appears as an uneven and snapshot-contingent source of performance heterogeneity across institutional phases. This perspective helps explain why pooled average effects may coexist with substantial wave-specific differences.</w:t>
      </w:r>
    </w:p>
    <w:p>
      <w:pPr>
        <w:pStyle w:val="BodyText"/>
      </w:pPr>
      <w:r>
        <w:t xml:space="preserve">A fourth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where institutional, capability, and sunk-cost barriers bind hardest in a transitional economy,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4"/>
    <w:bookmarkStart w:id="25" w:name="Xdd618d9602139b0eee88c4277e195c55d104c48"/>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5"/>
    <w:bookmarkEnd w:id="26"/>
    <w:bookmarkStart w:id="34" w:name="X8bf20a63f0decf7b16e99d564b9958ec4fbbb23"/>
    <w:p>
      <w:pPr>
        <w:pStyle w:val="Heading2"/>
      </w:pPr>
      <w:r>
        <w:t xml:space="preserve">2. Theory and hypotheses</w:t>
      </w:r>
    </w:p>
    <w:bookmarkStart w:id="27" w:name="X475e56b016e644d98a8e16bb390e9ef0dd93722"/>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27"/>
    <w:bookmarkStart w:id="28"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(TCI_z),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28"/>
    <w:bookmarkStart w:id="29" w:name="X02827d6cc0af65ac39b2d56f2f17672268c2f6b"/>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a website does not by itself integrate transactions,</w:t>
      </w:r>
      <w:r>
        <w:t xml:space="preserve"> </w:t>
      </w:r>
      <w:r>
        <w:t xml:space="preserve">supply chains, or decision-making,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digital presence (websites, e-mail); Tier 2, digital communication and basic e-commerce;</w:t>
      </w:r>
      <w:r>
        <w:t xml:space="preserve"> </w:t>
      </w:r>
      <w:r>
        <w:t xml:space="preserve">Tier 3, digital process integration (electronic payment, supply-chain digitisation); Tier 4, 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functioning as a conditional scaling complement rather than a coordination-strain amplifier, because the surrounding ecosystem can absorb cross-border transaction processing that a website alone cannot.</w:t>
      </w:r>
    </w:p>
    <w:p>
      <w:pPr>
        <w:pStyle w:val="BodyText"/>
      </w:pPr>
      <w:r>
        <w:t xml:space="preserve">Given that DAI_z reduces to a single binary item, c22b (own-website presence), it captures Tier-1 digital presence rather than dynamic digital capability. By 2023, website ownership has diffused to near half of the Vietnamese firm population (49.8 % in 2023 vs 42.5 % in 2009) and increasingly functions as an organisational hygiene factor rather than a marker of digital strategy.</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Note on hypothesis numbering.</w:t>
      </w:r>
      <w:r>
        <w:t xml:space="preserve"> </w:t>
      </w:r>
      <w:r>
        <w:t xml:space="preserve">Because DAI_z is not advanced as a primary hypothesis in this study, no H3 is formulated in the present paper. The exploratory digital moderation probe that follows (§2.4) is designated H4 to preserve alignment with the broader dissertation framework, in which H3 conventionally corresponds to institutional moderation in multi-country papers (P5 China, P7 Multi-country). Readers expecting H1–H2–H3–H4 sequencing should note this deliberate gap and the rationale above.</w:t>
      </w:r>
    </w:p>
    <w:bookmarkEnd w:id="29"/>
    <w:bookmarkStart w:id="33"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construct obsolescence under population diffusion</w:t>
      </w:r>
      <w:r>
        <w:t xml:space="preserve">: as website ownership broadens toward a level near half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FSTS_c²)</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p>
      <w:pPr>
        <w:pStyle w:val="BodyText"/>
      </w:pPr>
      <w:r>
        <w:drawing>
          <wp:inline>
            <wp:extent cx="5753100" cy="3160501"/>
            <wp:effectExtent b="0" l="0" r="0" t="0"/>
            <wp:docPr descr="Figure 1: Conceptual model, TCI, DAI, and export intensity as determinants of firm performance (Vietnam, 3-wave)" title="" id="31" name="Picture"/>
            <a:graphic>
              <a:graphicData uri="http://schemas.openxmlformats.org/drawingml/2006/picture">
                <pic:pic>
                  <pic:nvPicPr>
                    <pic:cNvPr descr="figures/figure_1_conceptual_model.png" id="32" name="Picture"/>
                    <pic:cNvPicPr>
                      <a:picLocks noChangeArrowheads="1" noChangeAspect="1"/>
                    </pic:cNvPicPr>
                  </pic:nvPicPr>
                  <pic:blipFill>
                    <a:blip r:embed="rId30"/>
                    <a:stretch>
                      <a:fillRect/>
                    </a:stretch>
                  </pic:blipFill>
                  <pic:spPr bwMode="auto">
                    <a:xfrm>
                      <a:off x="0" y="0"/>
                      <a:ext cx="5753100" cy="3160501"/>
                    </a:xfrm>
                    <a:prstGeom prst="rect">
                      <a:avLst/>
                    </a:prstGeom>
                    <a:noFill/>
                    <a:ln w="9525">
                      <a:noFill/>
                      <a:headEnd/>
                      <a:tailEnd/>
                    </a:ln>
                  </pic:spPr>
                </pic:pic>
              </a:graphicData>
            </a:graphic>
          </wp:inline>
        </w:drawing>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internationalisation intensity (FSTS, centred FSTS_c and FSTS_c²), is placed at left; the dependent variable, firm performance, measured as ln(labour productivity) = ln(annual revenue PPP / permanent workers), is placed at right, following left-to-right causal flow convention. H1 (inverted-U nonlinearity: β₁ &gt; 0, β₂ &lt; 0) is grounded in the Uppsala model (Johanson and Vahlne, 1977, 2009) and coordination-cost theory (Hitt et al., 1997). H2 specifies technological capability (TCI_z, Resource-Based View: Barney, 1991) as a level-shifting direct effect and secondary moderator on the FSTS–performance curve; instrument: industry-level TCI mean (causal IV identification). H4 treats website-based digital adoption (DAI_z, Tier-1 only) as an exploratory probe of the Digital Capability Lens (Banalieva and Dhanaraj, 2019); measurement constraint acknowledged,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Nhóm IV (Lower_mid_transition, ICRV Group 4 of 6; lower-middle-income transition economy; WGI Rule of Law ≈ −0.09 in 2023, World Bank). Data: WBES 2009, 2015, 2023; N = 2,958 (pooled), n_wave = 989/956/1,013.</w:t>
      </w:r>
    </w:p>
    <w:bookmarkEnd w:id="33"/>
    <w:bookmarkEnd w:id="34"/>
    <w:bookmarkStart w:id="40" w:name="Xfd2f05febb90fd7f58b14547dd9b33901f267a5"/>
    <w:p>
      <w:pPr>
        <w:pStyle w:val="Heading2"/>
      </w:pPr>
      <w:r>
        <w:t xml:space="preserve">3. Data, variables, and empirical strategy</w:t>
      </w:r>
    </w:p>
    <w:bookmarkStart w:id="35"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5"/>
    <w:bookmarkStart w:id="36" w:name="Xbcf9f12e79107fa2c089aaf13fc6c4fb773f1c2"/>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 (FSTS_c²) so that linear and quadratic terms can be entered jointly to test for nonlinearity. The analysis uses two distinct capability constructs. The Technological Capability Index (TCI_z) is interpreted narrowly as a foreign-technology and standards capability measure (namely international quality certification and foreign-licensed technology)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foundational website adoption,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 website-presence indicator c22b, recoded from 1/2 to 1/0. Under this revised primary specification, no item is shared between the TCI and DAI composites,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using a richer composite for 2023 only, would introduce a wave-specific construct-shift that could be mistaken for a structural change in the I–P relationship. The DAI_rich robustness extension (§4.5 Panel B) applies the 2023-wave Tier-2 items precisely as a within-wave sensitivity probe to assess whether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 0). c22b is recoded similarly (1 = has website; 2 → 0). TCI_z and DAI_z are standardised within each wave independently so that coefficients are comparable in magnitude across waves. Turning-point formula: TP* = −β₁ / (2β₂);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989,956, and 1,013 observations for 2009, 2015,</w:t>
      </w:r>
      <w:r>
        <w:t xml:space="preserve"> </w:t>
      </w:r>
      <w:r>
        <w:t xml:space="preserve">and 2023 respectively; pooled N is 2,958.</w:t>
      </w:r>
    </w:p>
    <w:bookmarkEnd w:id="36"/>
    <w:bookmarkStart w:id="37" w:name="Xc5fe1f3cf583535f12a87a680dcd317400b3da2"/>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 TCI_z and DAI_z 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the within-wave mean-centred export intensity, and</w:t>
      </w:r>
      <w:r>
        <w:t xml:space="preserve"> </w:t>
      </w:r>
      <w:r>
        <w:rPr>
          <w:bCs/>
          <w:b/>
        </w:rPr>
        <w:t xml:space="preserve">X</w:t>
      </w:r>
      <w:r>
        <w:t xml:space="preserve">_it the vector of controls (lnEmp, FirmAge, ForeignOwned); δ_s denotes sector fixed effects and λ_t wave fixed effects (pooled specifications only):</w:t>
      </w:r>
    </w:p>
    <w:p>
      <w:pPr>
        <w:pStyle w:val="BodyText"/>
      </w:pPr>
      <w:r>
        <w:rPr>
          <w:bCs/>
          <w:b/>
        </w:rPr>
        <w:t xml:space="preserve">M0, Baseline controls:</w:t>
      </w:r>
      <w:r>
        <w:t xml:space="preserve"> </w:t>
      </w:r>
      <w:r>
        <w:t xml:space="preserve">lnLP_it = α + γ₁ lnEmp_it + γ₂ FirmAge_it + γ₃ ForeignOwned_it + δ_s + [λ_t] + ε_it</w:t>
      </w:r>
    </w:p>
    <w:p>
      <w:pPr>
        <w:pStyle w:val="BodyText"/>
      </w:pPr>
      <w:r>
        <w:rPr>
          <w:bCs/>
          <w:b/>
        </w:rPr>
        <w:t xml:space="preserve">M1, Linear internationalisation:</w:t>
      </w:r>
      <w:r>
        <w:t xml:space="preserve"> </w:t>
      </w:r>
      <w:r>
        <w:t xml:space="preserve">lnLP_it = α + β₁ FSTS_c_it + γ·</w:t>
      </w:r>
      <w:r>
        <w:rPr>
          <w:bCs/>
          <w:b/>
        </w:rPr>
        <w:t xml:space="preserve">X</w:t>
      </w:r>
      <w:r>
        <w:t xml:space="preserve">_it + δ_s + [λ_t] + ε_it</w:t>
      </w:r>
    </w:p>
    <w:p>
      <w:pPr>
        <w:pStyle w:val="BodyText"/>
      </w:pPr>
      <w:r>
        <w:rPr>
          <w:bCs/>
          <w:b/>
        </w:rPr>
        <w:t xml:space="preserve">M2, Quadratic internationalisation (tests H1 inverted-U):</w:t>
      </w:r>
      <w:r>
        <w:t xml:space="preserve"> </w:t>
      </w:r>
      <w:r>
        <w:t xml:space="preserve">lnLP_it = α + β₁ FSTS_c_it + β₂ FSTS_c²_it + γ·</w:t>
      </w:r>
      <w:r>
        <w:rPr>
          <w:bCs/>
          <w:b/>
        </w:rPr>
        <w:t xml:space="preserve">X</w:t>
      </w:r>
      <w:r>
        <w:t xml:space="preserve">_it + δ_s + [λ_t] + ε_it</w:t>
      </w:r>
    </w:p>
    <w:p>
      <w:pPr>
        <w:pStyle w:val="BodyText"/>
      </w:pPr>
      <w:r>
        <w:t xml:space="preserve">H1 requires β₁ &gt; 0 and β₂ &lt; 0; the implied turning point is TP* = −β₁ / (2β₂), confirmed by the Lind–Mehlum (2010) utest.</w:t>
      </w:r>
    </w:p>
    <w:p>
      <w:pPr>
        <w:pStyle w:val="BodyText"/>
      </w:pPr>
      <w:r>
        <w:rPr>
          <w:bCs/>
          <w:b/>
        </w:rPr>
        <w:t xml:space="preserve">M3, TCI moderation (tests H2):</w:t>
      </w:r>
      <w:r>
        <w:t xml:space="preserve"> </w:t>
      </w: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DAI moderation (exploratory H4):</w:t>
      </w:r>
      <w:r>
        <w:t xml:space="preserve"> </w:t>
      </w: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TCI direct only:</w:t>
      </w:r>
      <w:r>
        <w:t xml:space="preserve"> </w:t>
      </w: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DAI direct only:</w:t>
      </w:r>
      <w:r>
        <w:t xml:space="preserve"> </w:t>
      </w: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Dual-direct, no interactions:</w:t>
      </w:r>
      <w:r>
        <w:t xml:space="preserve"> </w:t>
      </w: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Full model (dual-direct + DAI moderation):</w:t>
      </w:r>
      <w:r>
        <w:t xml:space="preserve"> </w:t>
      </w: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All models are estimated by OLS with HC1 heteroscedasticity-consistent standard errors. Wave fixed effects (λ_t) are included in pooled specifications only. The M0–M8 sequence is estimated wave-by-wave and jointly on the pooled three-wave file, yielding four sets of estimates (2009, 2015, 2023, pooled).</w:t>
      </w:r>
    </w:p>
    <w:bookmarkEnd w:id="37"/>
    <w:bookmarkStart w:id="38" w:name="Xe803d156752d85865c6c4f44f4ca9bbe59bf0f9"/>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productivity, financial resilience, managerial quality,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 × region × 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§4.5.</w:t>
      </w:r>
    </w:p>
    <w:p>
      <w:pPr>
        <w:pStyle w:val="BodyText"/>
      </w:pPr>
      <w:r>
        <w:rPr>
          <w:iCs/>
          <w:i/>
        </w:rPr>
        <w:t xml:space="preserve">Instrumental-variable estimation.</w:t>
      </w:r>
      <w:r>
        <w:t xml:space="preserve"> </w:t>
      </w:r>
      <w:r>
        <w:t xml:space="preserve">Leave-one-out sector × region × 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 R²_max = 1.3 × R²_controlled,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38"/>
    <w:bookmarkStart w:id="39" w:name="X976281aae9d7cc6accc3a8a15180eec1c0b7e58"/>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39"/>
    <w:bookmarkEnd w:id="40"/>
    <w:bookmarkStart w:id="63" w:name="X121719332867ee227f0a04b486098cee978c6e6"/>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2"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 joint p = .040; FSTS_c × TCI_z = -0.579, p = .087), but DAI moderation is not (M4 joint</w:t>
      </w:r>
    </w:p>
    <w:p>
      <w:pPr>
        <w:pStyle w:val="BodyText"/>
      </w:pPr>
      <w:r>
        <w:t xml:space="preserve">Table 2: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w:t>
      </w:r>
      <w:r>
        <w:t xml:space="preserve"> </w:t>
      </w:r>
      <w:hyperlink r:id="rId41">
        <w:r>
          <w:rPr>
            <w:rStyle w:val="Hyperlink"/>
          </w:rPr>
          <w:t xml:space="preserve">www.enterprisesurveys.org;</w:t>
        </w:r>
      </w:hyperlink>
      <w:r>
        <w:t xml:space="preserve"> </w:t>
      </w:r>
      <w:r>
        <w:t xml:space="preserve">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 FSTS_c β = 1.159 (p = .029) and FSTS_c² β = -2.115 (p = .004), with Lind–Mehlum p = .009.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but does not reach conventional significance (FSTS_c² × DAI_z =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 "digital adoption is bad", instead, the instrument has lost its discriminatory power as Tier 1 adoption has diffused to roughly half of firms (49.8% in 2023 vs 42.5% in 2009). The DAI_rich composite (Tier 1+2;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 0.128 → 0.123) but with moderation</w:t>
      </w:r>
    </w:p>
    <w:p>
      <w:pPr>
        <w:pStyle w:val="BodyText"/>
      </w:pPr>
      <w:r>
        <w:t xml:space="preserve">that survives in the 2009, 2023 and pooled panels. Website-based digital presence follows a nonmonotonic trajectory, strong in 2009 (β = 0.175 ***), null in 2015 (β = -0.044 n.s.), and</w:t>
      </w:r>
      <w:r>
        <w:t xml:space="preserve"> </w:t>
      </w:r>
      <w:r>
        <w:t xml:space="preserve">re-emerging in 2023 (β = 0.095 *), and its moderation channel materialises only in 2023.</w:t>
      </w:r>
      <w:r>
        <w:t xml:space="preserve"> </w:t>
      </w:r>
      <w:r>
        <w:t xml:space="preserve">The Paternoster cross-wave z-tests reported in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suggests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even at the website-only layer, generated direct gains because the alternative was</w:t>
      </w:r>
      <w:r>
        <w:t xml:space="preserve"> </w:t>
      </w:r>
      <w:r>
        <w:t xml:space="preserve">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suggests that this conditional channel binds primarily at</w:t>
      </w:r>
      <w:r>
        <w:t xml:space="preserve"> </w:t>
      </w:r>
      <w:r>
        <w:t xml:space="preserve">higher export intensity rather than uniformly across the export-intensity range.</w:t>
      </w:r>
    </w:p>
    <w:bookmarkEnd w:id="42"/>
    <w:bookmarkStart w:id="55" w:name="Xaa4851a9c1b3e08eeca0ab72ae930e2b05bff75"/>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Following Haans, Pieters, and He (2016), all four formal conditions for a genuine inverted-U are met: (C1) β₁ = +0.984 (p &lt; .001), confirming a positive ascending limb; (C2) β₂ = −1.909 (p &lt; .001), confirming concavity; (C3) TP* = −β₁/(2β₂) = 39.7% falls within the observed FSTS range [0%, 100%]; and (C4) the predicted marginal return of internationalisation is positive at the lower data bound (FSTS = 0%, slope ≈ +1.52) and negative at the upper data bound (FSTS = 100%, slope ≈ −2.30), with opposite signs confirmed by the Lind–Mehlum (2010) u-test (p &lt; .001 binding). The curvature persists in the full M8 specification (FSTS_c β = 0.845, p = .006; FSTS_c² β =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Turning point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 TCI_z is positive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precisely the pattern</w:t>
      </w:r>
    </w:p>
    <w:p>
      <w:pPr>
        <w:pStyle w:val="BodyText"/>
      </w:pPr>
      <w:r>
        <w:t xml:space="preserve">documented in 4.1 for the 2023 wave.</w:t>
      </w:r>
      <w:r>
        <w:t xml:space="preserve"> </w:t>
      </w:r>
      <w:r>
        <w:t xml:space="preserve">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drawing>
          <wp:inline>
            <wp:extent cx="5753100" cy="3835399"/>
            <wp:effectExtent b="0" l="0" r="0" t="0"/>
            <wp:docPr descr="Figure 2a: Wave 2009, predicted ln(labour productivity) vs FSTS" title="" id="44" name="Picture"/>
            <a:graphic>
              <a:graphicData uri="http://schemas.openxmlformats.org/drawingml/2006/picture">
                <pic:pic>
                  <pic:nvPicPr>
                    <pic:cNvPr descr="figures/figure_2a.png" id="45" name="Picture"/>
                    <pic:cNvPicPr>
                      <a:picLocks noChangeArrowheads="1" noChangeAspect="1"/>
                    </pic:cNvPicPr>
                  </pic:nvPicPr>
                  <pic:blipFill>
                    <a:blip r:embed="rId43"/>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BodyText"/>
      </w:pPr>
      <w:r>
        <w:drawing>
          <wp:inline>
            <wp:extent cx="5753100" cy="3835399"/>
            <wp:effectExtent b="0" l="0" r="0" t="0"/>
            <wp:docPr descr="Figure 2b: Wave 2015, predicted ln(labour productivity) vs FSTS" title="" id="47" name="Picture"/>
            <a:graphic>
              <a:graphicData uri="http://schemas.openxmlformats.org/drawingml/2006/picture">
                <pic:pic>
                  <pic:nvPicPr>
                    <pic:cNvPr descr="figures/figure_2b.png" id="48" name="Picture"/>
                    <pic:cNvPicPr>
                      <a:picLocks noChangeArrowheads="1" noChangeAspect="1"/>
                    </pic:cNvPicPr>
                  </pic:nvPicPr>
                  <pic:blipFill>
                    <a:blip r:embed="rId46"/>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BodyText"/>
      </w:pPr>
      <w:r>
        <w:drawing>
          <wp:inline>
            <wp:extent cx="5753100" cy="3835399"/>
            <wp:effectExtent b="0" l="0" r="0" t="0"/>
            <wp:docPr descr="Figure 2c: Wave 2023, predicted ln(labour productivity) vs FSTS" title="" id="50" name="Picture"/>
            <a:graphic>
              <a:graphicData uri="http://schemas.openxmlformats.org/drawingml/2006/picture">
                <pic:pic>
                  <pic:nvPicPr>
                    <pic:cNvPr descr="figures/figure_2c.png" id="51" name="Picture"/>
                    <pic:cNvPicPr>
                      <a:picLocks noChangeArrowheads="1" noChangeAspect="1"/>
                    </pic:cNvPicPr>
                  </pic:nvPicPr>
                  <pic:blipFill>
                    <a:blip r:embed="rId49"/>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BodyText"/>
      </w:pPr>
      <w:r>
        <w:drawing>
          <wp:inline>
            <wp:extent cx="5753100" cy="3835399"/>
            <wp:effectExtent b="0" l="0" r="0" t="0"/>
            <wp:docPr descr="Figure 2d: Pooled (2009+2015+2023), predicted ln(labour productivity) vs FSTS" title="" id="53" name="Picture"/>
            <a:graphic>
              <a:graphicData uri="http://schemas.openxmlformats.org/drawingml/2006/picture">
                <pic:pic>
                  <pic:nvPicPr>
                    <pic:cNvPr descr="figures/figure_2d.png" id="54" name="Picture"/>
                    <pic:cNvPicPr>
                      <a:picLocks noChangeArrowheads="1" noChangeAspect="1"/>
                    </pic:cNvPicPr>
                  </pic:nvPicPr>
                  <pic:blipFill>
                    <a:blip r:embed="rId52"/>
                    <a:stretch>
                      <a:fillRect/>
                    </a:stretch>
                  </pic:blipFill>
                  <pic:spPr bwMode="auto">
                    <a:xfrm>
                      <a:off x="0" y="0"/>
                      <a:ext cx="5753100" cy="3835399"/>
                    </a:xfrm>
                    <a:prstGeom prst="rect">
                      <a:avLst/>
                    </a:prstGeom>
                    <a:noFill/>
                    <a:ln w="9525">
                      <a:noFill/>
                      <a:headEnd/>
                      <a:tailEnd/>
                    </a:ln>
                  </pic:spPr>
                </pic:pic>
              </a:graphicData>
            </a:graphic>
          </wp:inline>
        </w:drawing>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55"/>
    <w:bookmarkStart w:id="59"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coordination capacity, contract enforcement, and trade-finance access, that change more slowly than the wider operating environment. This within-WBES cross-wave evidence complements the institutional-context channel identified in meta-analyses of the I–P relationship (Wu</w:t>
      </w:r>
      <w:r>
        <w:t xml:space="preserve"> </w:t>
      </w:r>
      <w:r>
        <w:rPr>
          <w:iCs/>
          <w:i/>
        </w:rPr>
        <w:t xml:space="preserve">et al.</w:t>
      </w:r>
      <w:r>
        <w:t xml:space="preserve">, 2022; Marano</w:t>
      </w:r>
      <w:r>
        <w:t xml:space="preserve"> </w:t>
      </w:r>
      <w:r>
        <w:rPr>
          <w:iCs/>
          <w:i/>
        </w:rPr>
        <w:t xml:space="preserve">et al.</w:t>
      </w:r>
      <w:r>
        <w:t xml:space="preserve">, 2016).</w:t>
      </w:r>
    </w:p>
    <w:p>
      <w:pPr>
        <w:pStyle w:val="BodyText"/>
      </w:pPr>
      <w:r>
        <w:t xml:space="preserve">H2 is supported: the positive TCI_z direct coefficient (pooled β = 0.179, p &lt; .001) is statistically significant in all three wave-specific periods (2009 p &lt; .001; 2015 p = .010; 2023 p = .006), and statistically distinguishable TCI moderation appears in three of four panels (M3 joint p = .040, .713, .027 and .003). The baseline DAI_z control reports a positive pooled level association (β = 0.078, p = .004) but with substantial wave-to-wave variability,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digital capability reversing the curvature for high-adopter firms, is not supported in the Vietnam sample.</w:t>
      </w:r>
    </w:p>
    <w:p>
      <w:pPr>
        <w:pStyle w:val="BodyText"/>
      </w:pPr>
      <w:r>
        <w:drawing>
          <wp:inline>
            <wp:extent cx="5753100" cy="2401293"/>
            <wp:effectExtent b="0" l="0" r="0" t="0"/>
            <wp:docPr descr="Figure 3: Moderator marginal effects, TCI and DAI interactions with FSTS (Vietnam)" title="" id="57" name="Picture"/>
            <a:graphic>
              <a:graphicData uri="http://schemas.openxmlformats.org/drawingml/2006/picture">
                <pic:pic>
                  <pic:nvPicPr>
                    <pic:cNvPr descr="figures/figure_3_moderator_marginals.png" id="58" name="Picture"/>
                    <pic:cNvPicPr>
                      <a:picLocks noChangeArrowheads="1" noChangeAspect="1"/>
                    </pic:cNvPicPr>
                  </pic:nvPicPr>
                  <pic:blipFill>
                    <a:blip r:embed="rId56"/>
                    <a:stretch>
                      <a:fillRect/>
                    </a:stretch>
                  </pic:blipFill>
                  <pic:spPr bwMode="auto">
                    <a:xfrm>
                      <a:off x="0" y="0"/>
                      <a:ext cx="5753100" cy="2401293"/>
                    </a:xfrm>
                    <a:prstGeom prst="rect">
                      <a:avLst/>
                    </a:prstGeom>
                    <a:noFill/>
                    <a:ln w="9525">
                      <a:noFill/>
                      <a:headEnd/>
                      <a:tailEnd/>
                    </a:ln>
                  </pic:spPr>
                </pic:pic>
              </a:graphicData>
            </a:graphic>
          </wp:inline>
        </w:drawing>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59"/>
    <w:bookmarkStart w:id="60" w:name="X3b4c7e0874095eca8ced8b4f3eaf74e392e9461"/>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 term is negative (β = -0.861, p &lt; .001) but the quadratic term is not significant (FSTS_c² β =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60"/>
    <w:bookmarkStart w:id="62"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2009,198 in 2015,190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indicate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61"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consistent with servicification of the economy and the gradual exit of marginal exporters,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 DAI×FSTS interaction. The strongly positive instrumented TCI coefficient (β=1.639, p&lt;.001, substantially larger than the OLS estimate, consistent with attenuation-bias correction) further indicates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website (kernel 1,085 ATT_DAI = 0.321 (SE 0.043)</w:t>
      </w:r>
      <w:r>
        <w:t xml:space="preserve"> </w:t>
      </w:r>
      <w:r>
        <w:t xml:space="preserve">Robust to algorithm</w:t>
      </w:r>
      <w:r>
        <w:t xml:space="preserve"> </w:t>
      </w:r>
      <w:r>
        <w:t xml:space="preserve">BW 0.06)</w:t>
      </w:r>
      <w:r>
        <w:t xml:space="preserve"> </w:t>
      </w:r>
      <w:r>
        <w:t xml:space="preserve">J. PSM ATT,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 0.61; FSTSc2 −2.21 → −1.17; No sign change; focal findTCI 0.14 → 0.19; DAI 0.07 →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w:t>
      </w:r>
      <w:r>
        <w:t xml:space="preserve"> </w:t>
      </w:r>
      <w:hyperlink r:id="rId41">
        <w:r>
          <w:rPr>
            <w:rStyle w:val="Hyperlink"/>
          </w:rPr>
          <w:t xml:space="preserve">www.enterprisesurveys.org;</w:t>
        </w:r>
      </w:hyperlink>
      <w:r>
        <w:t xml:space="preserve"> </w:t>
      </w:r>
      <w:r>
        <w:t xml:space="preserve">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(p=.543)</w:t>
            </w:r>
          </w:p>
        </w:tc>
        <w:tc>
          <w:tcPr/>
          <w:p>
            <w:pPr>
              <w:pStyle w:val="Compact"/>
              <w:jc w:val="left"/>
            </w:pPr>
            <w:r>
              <w:t xml:space="preserve">z=0.96 (p=.337)</w:t>
            </w:r>
          </w:p>
        </w:tc>
        <w:tc>
          <w:tcPr/>
          <w:p>
            <w:pPr>
              <w:pStyle w:val="Compact"/>
              <w:jc w:val="left"/>
            </w:pPr>
            <w:r>
              <w:t xml:space="preserve">z=1.29 (p=.198)</w:t>
            </w:r>
          </w:p>
        </w:tc>
        <w:tc>
          <w:tcPr/>
          <w:p>
            <w:pPr>
              <w:pStyle w:val="Compact"/>
              <w:jc w:val="left"/>
            </w:pPr>
            <w:r>
              <w:t xml:space="preserve">z=3.35 (p=.001)</w:t>
            </w:r>
          </w:p>
        </w:tc>
      </w:tr>
      <w:tr>
        <w:tc>
          <w:tcPr/>
          <w:p>
            <w:pPr>
              <w:pStyle w:val="Compact"/>
              <w:jc w:val="left"/>
            </w:pPr>
            <w:r>
              <w:t xml:space="preserve">2009 vs. 2023</w:t>
            </w:r>
          </w:p>
        </w:tc>
        <w:tc>
          <w:tcPr/>
          <w:p>
            <w:pPr>
              <w:pStyle w:val="Compact"/>
              <w:jc w:val="left"/>
            </w:pPr>
            <w:r>
              <w:t xml:space="preserve">z=0.09 (p=.926)</w:t>
            </w:r>
          </w:p>
        </w:tc>
        <w:tc>
          <w:tcPr/>
          <w:p>
            <w:pPr>
              <w:pStyle w:val="Compact"/>
              <w:jc w:val="left"/>
            </w:pPr>
            <w:r>
              <w:t xml:space="preserve">z=0.14 (p=.888)</w:t>
            </w:r>
          </w:p>
        </w:tc>
        <w:tc>
          <w:tcPr/>
          <w:p>
            <w:pPr>
              <w:pStyle w:val="Compact"/>
              <w:jc w:val="left"/>
            </w:pPr>
            <w:r>
              <w:t xml:space="preserve">z=1.42 (p=.155)</w:t>
            </w:r>
          </w:p>
        </w:tc>
        <w:tc>
          <w:tcPr/>
          <w:p>
            <w:pPr>
              <w:pStyle w:val="Compact"/>
              <w:jc w:val="left"/>
            </w:pPr>
            <w:r>
              <w:t xml:space="preserve">z=1.28 (p=.201)</w:t>
            </w:r>
          </w:p>
        </w:tc>
      </w:tr>
      <w:tr>
        <w:tc>
          <w:tcPr/>
          <w:p>
            <w:pPr>
              <w:pStyle w:val="Compact"/>
              <w:jc w:val="left"/>
            </w:pPr>
            <w:r>
              <w:t xml:space="preserve">2015 vs. 2023</w:t>
            </w:r>
          </w:p>
        </w:tc>
        <w:tc>
          <w:tcPr/>
          <w:p>
            <w:pPr>
              <w:pStyle w:val="Compact"/>
              <w:jc w:val="left"/>
            </w:pPr>
            <w:r>
              <w:t xml:space="preserve">z=0.66 (p=.509)</w:t>
            </w:r>
          </w:p>
        </w:tc>
        <w:tc>
          <w:tcPr/>
          <w:p>
            <w:pPr>
              <w:pStyle w:val="Compact"/>
              <w:jc w:val="left"/>
            </w:pPr>
            <w:r>
              <w:t xml:space="preserve">z=-0.84 (p=.400)</w:t>
            </w:r>
          </w:p>
        </w:tc>
        <w:tc>
          <w:tcPr/>
          <w:p>
            <w:pPr>
              <w:pStyle w:val="Compact"/>
              <w:jc w:val="left"/>
            </w:pPr>
            <w:r>
              <w:t xml:space="preserve">z=0.07 (p=.947)</w:t>
            </w:r>
          </w:p>
        </w:tc>
        <w:tc>
          <w:tcPr/>
          <w:p>
            <w:pPr>
              <w:pStyle w:val="Compact"/>
              <w:jc w:val="left"/>
            </w:pPr>
            <w:r>
              <w:t xml:space="preserve">z=-2.05 (p=.040)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and Mehlum, 2010). Source: WBES Vietnam 2009, 2015, 2023; authors' calculations.</w:t>
      </w:r>
    </w:p>
    <w:bookmarkEnd w:id="61"/>
    <w:bookmarkEnd w:id="62"/>
    <w:bookmarkEnd w:id="63"/>
    <w:bookmarkStart w:id="69" w:name="X735612638e4e736e4693e459c258977262c0dfc"/>
    <w:p>
      <w:pPr>
        <w:pStyle w:val="Heading2"/>
      </w:pPr>
      <w:r>
        <w:t xml:space="preserve">5. Discussion</w:t>
      </w:r>
    </w:p>
    <w:p>
      <w:pPr>
        <w:pStyle w:val="FirstParagraph"/>
      </w:pPr>
      <w:r>
        <w:t xml:space="preserve">The results should first be located against the meta-analytic baseline. Wu, Fan, and Chen (2022, MIR) establish a positive average I–P relationship for emerging-market multinationals, a useful macro-level anchor, but one that aggregates across institutional contexts in which the functional form may vary substantially. Country-level heterogeneity in the I–P curve shape remains under-specified in that meta-analysis. Vietnam, as a single-party transitional economy with rapid but uneven digital infrastructure uptake, provides a critical test of whether the pooled meta-level estimate masks functional-form nonlinearity at the within-country level. The present evidence is consistent with that concern: the inverted-U is robust within Vietnam but is driven predominantly by a participation-margin step rather than by within-exporter saturation, a structure that pooling across exporters and non-exporters in cross-country meta-analyses would tend to inflate into an apparent continuous curvature. The within-Vietnam temporal durability of the threshold (39–46 % band sustained across 14 years) additionally indicates that institutional context, held constant in this single-country design, may stabilise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w:t>
      </w:r>
      <w:r>
        <w:t xml:space="preserve"> </w:t>
      </w:r>
      <w:r>
        <w:rPr>
          <w:iCs/>
          <w:i/>
        </w:rPr>
        <w:t xml:space="preserve">et al.</w:t>
      </w:r>
      <w:r>
        <w:t xml:space="preserve">, 2026). This corroboration strengthens the interpretation that moderate export intensity generates genuine productivity gains in Vietnamese firms, not merely a compositional artefact of positive selection into exporting.</w:t>
      </w:r>
    </w:p>
    <w:bookmarkStart w:id="64" w:name="Xa5f80b6bc0b8dd7b33d639445ac723c1ee9ad4a"/>
    <w:p>
      <w:pPr>
        <w:pStyle w:val="Heading3"/>
      </w:pPr>
      <w:r>
        <w:t xml:space="preserve">5.1 Reinterpreting the baseline website-presence indicator in Vietnam</w:t>
      </w:r>
    </w:p>
    <w:p>
      <w:pPr>
        <w:pStyle w:val="FirstParagraph"/>
      </w:pPr>
      <w:r>
        <w:t xml:space="preserve">The central implication of the descriptive DAI_z findings is that baseline website presence in Vietnam should</w:t>
      </w:r>
      <w:r>
        <w:t xml:space="preserve"> </w:t>
      </w:r>
      <w:r>
        <w:t xml:space="preserve">not be interpreted as a universal and temporally stable productivity premium, nor as evidence on dynamic digital capability. Although both</w:t>
      </w:r>
      <w:r>
        <w:t xml:space="preserve"> </w:t>
      </w:r>
      <w:r>
        <w:t xml:space="preserve">TCI_z and DAI_z are positive on average in pooled specifications, their empirical roles differ</w:t>
      </w:r>
      <w:r>
        <w:t xml:space="preserve"> </w:t>
      </w:r>
      <w:r>
        <w:t xml:space="preserve">materially across waves and across identification strategies (Vahlne, 2020; Stallkamp and Schotter, 2021). Within the constraint of a Tier-1 binary website indicator, the pattern is that</w:t>
      </w:r>
      <w:r>
        <w:t xml:space="preserve"> </w:t>
      </w:r>
      <w:r>
        <w:t xml:space="preserve">website ownership is not a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where DAI productivity relevance attenuates at higher export intensities,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reveal that this tendency is not</w:t>
      </w:r>
      <w:r>
        <w:t xml:space="preserve"> </w:t>
      </w:r>
      <w:r>
        <w:t xml:space="preserve">equally strong in every phase. The value of digital capability therefore depends on where firms</w:t>
      </w:r>
      <w:r>
        <w:t xml:space="preserve"> </w:t>
      </w:r>
      <w:r>
        <w:t xml:space="preserve">stand in the broader trajectory of internationalisation and transition, as captured in repeated cross-sectional snapshots rather than within-firm longitudinal records.</w:t>
      </w:r>
    </w:p>
    <w:bookmarkEnd w:id="64"/>
    <w:bookmarkStart w:id="65" w:name="Xa30cb53845d80e9f381e97d931a6564a08369b5"/>
    <w:p>
      <w:pPr>
        <w:pStyle w:val="Heading3"/>
      </w:pPr>
      <w:r>
        <w:t xml:space="preserve">5.2 Why the distinction between TCI and baseline DAI matters</w:t>
      </w:r>
    </w:p>
    <w:p>
      <w:pPr>
        <w:pStyle w:val="FirstParagraph"/>
      </w:pPr>
      <w:r>
        <w:t xml:space="preserve">The results strengthen the methodological case for separating foreign-technology / standards capability from a baseline website-presence indicator and for not conflating the two under a single "digital adoption" or "digital transformation" 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(combining c22b with electronic-payment shares k33, k38)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65"/>
    <w:bookmarkStart w:id="66" w:name="X946dfeb74c2174371e94edd51e868f8bb309c10"/>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not merely the macro infrastructure gap,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and to a degree complementary,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World Bank, 2026)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 (International Telecommunication Union, 2026).</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they are not entered</w:t>
      </w:r>
      <w:r>
        <w:t xml:space="preserve"> </w:t>
      </w:r>
      <w:r>
        <w:t xml:space="preserve">into the regression,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66"/>
    <w:bookmarkStart w:id="67" w:name="Xd9a4ebc909e2b14dcfe03b7b8686207326328b4"/>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 FSTS &gt; 0) and the inverted-U turning-point band at 39–46 % FSTS. Read together, the step-function structure at the participation margin and the Tier-1 saturation of website-based digital presence imply a threshold-conditioned capital-allocation map for Vietnamese SME managers, one that translates the wave-specific coefficient patterns into stage-appropriate priorities.</w:t>
      </w:r>
    </w:p>
    <w:p>
      <w:pPr>
        <w:pStyle w:val="BodyText"/>
      </w:pPr>
      <w:r>
        <w:rPr>
          <w:iCs/>
          <w:i/>
        </w:rPr>
        <w:t xml:space="preserve">Stage 1,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foreign-licensed technology, formal quality-certification systems, process integration with foreign principals,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67"/>
    <w:bookmarkStart w:id="68" w:name="X0d482379a65faf52764848d2b168aee0725ece4"/>
    <w:p>
      <w:pPr>
        <w:pStyle w:val="Heading3"/>
      </w:pPr>
      <w:r>
        <w:t xml:space="preserve">5.5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quality certification,</w:t>
      </w:r>
      <w:r>
        <w:t xml:space="preserve"> </w:t>
      </w:r>
      <w:r>
        <w:t xml:space="preserve">absorptive-capacity investment, organisational routines for cross-border coordination, are</w:t>
      </w:r>
      <w:r>
        <w:t xml:space="preserve"> </w:t>
      </w:r>
      <w:r>
        <w:t xml:space="preserve">more consistent with the pattern that emerges in 2023.</w:t>
      </w:r>
      <w:r>
        <w:t xml:space="preserve"> </w:t>
      </w:r>
      <w:r>
        <w:t xml:space="preserve">Third, the cross-wave comparison, which, given the repeated cross-sectional design, reflects cohort-level snapshots rather than within-firm trajectories,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w:t>
      </w:r>
      <w:r>
        <w:t xml:space="preserve"> </w:t>
      </w:r>
      <w:r>
        <w:rPr>
          <w:iCs/>
          <w:i/>
        </w:rPr>
        <w:t xml:space="preserve">et al.</w:t>
      </w:r>
      <w:r>
        <w:t xml:space="preserve">, 2026), suggesting that the ascending limb documented in the WBES microdata reflects in part the economy-wide gains from trade opening that firm-level capability investments convert into sustained productivity advantage.</w:t>
      </w:r>
    </w:p>
    <w:bookmarkEnd w:id="68"/>
    <w:bookmarkEnd w:id="69"/>
    <w:bookmarkStart w:id="70"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This design cannot identify within-firm trajectories over time, and time-invariant unobserved heterogeneity cannot be netted out at the firm level, which means causal attribution for any estimated coefficient remains unavailable.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 DAI_z captures only a foundational, Tier-1-style layer of digital adoption centred on website presence, rather than digitally integrated organisational capability. This means the present analysis cannot conclude whether deeper digital integration, Tier 2 electronic-payment intensity, Tier 3 ERP-linked supply-chain digitisation, or Tier 4 data-driven operations,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w:t>
      </w:r>
    </w:p>
    <w:p>
      <w:pPr>
        <w:pStyle w:val="BodyText"/>
      </w:pPr>
      <w:r>
        <w:t xml:space="preserve">The Paternoster et al.</w:t>
      </w:r>
    </w:p>
    <w:p>
      <w:pPr>
        <w:pStyle w:val="BodyText"/>
      </w:pPr>
      <w:r>
        <w:t xml:space="preserve">(1998) z-tests indicate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w:t>
      </w:r>
    </w:p>
    <w:p>
      <w:pPr>
        <w:pStyle w:val="BodyText"/>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for example, contrasting digitally</w:t>
      </w:r>
      <w:r>
        <w:t xml:space="preserve"> </w:t>
      </w:r>
      <w:r>
        <w:t xml:space="preserve">intensive services with traditional services, or contrasting export-oriented with domestically</w:t>
      </w:r>
      <w:r>
        <w:t xml:space="preserve"> </w:t>
      </w:r>
      <w:r>
        <w:t xml:space="preserve">oriented manufacturing sub-sectors,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negative at high export intensity under Tier-1-only adoption,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§2.1.</w:t>
      </w:r>
    </w:p>
    <w:bookmarkEnd w:id="70"/>
    <w:bookmarkStart w:id="71" w:name="X19cad7d15381a9dfa000caf49ac5c69889e188d"/>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by retaining a single-item website-presence indicator only as a baseline digital-presence control. It compares pooled with wave-specific evidence across the 2009 / 2015 / 2023 WBES waves to evaluate the structural durability of the I–P threshold and the wave-level identification robustness of each capability dimension.</w:t>
      </w:r>
    </w:p>
    <w:p>
      <w:pPr>
        <w:pStyle w:val="BodyText"/>
      </w:pPr>
      <w:r>
        <w:t xml:space="preserve">The findings indicate that the internationalisation–performance relationship is non-monotonic in the full sample, that the pattern is driven primarily by a participation-and-intensity structure rather than by strong within-exporter curvature alone, and, critically, that the inverted-U turning point is structurally durable: the threshold range clusters within a narrow ~7-percentage-point band (39.3–46.2 %) across 14 years of major institutional change, including WTO accession, the Global Financial Crisis, the COVID-19 supply-chain disruption, and the diffusion of digital-payment infrastructure. This durability is consistent with deep firm-level constraints, coordination capacity, contract enforcement, and trade-finance access, that change more slowly than the wider operating environment.</w:t>
      </w:r>
    </w:p>
    <w:p>
      <w:pPr>
        <w:pStyle w:val="BodyText"/>
      </w:pPr>
      <w:r>
        <w:t xml:space="preserve">The results also suggest that technological capability and the baseline website-presence indicator should not be treated as interchangeable, and that conflating them under a single "digital adoption" or "digital transformation" 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partial Tier-1 proxy obsolescence as website ownership broadens toward roughly half the firm population in the Vietnamese firm population. Within the constraint of a single binary website indicator, this paper makes no claim about dynamic digital capability moderation; any such test awaits richer Tier 2–4 indicators not currently available cross-wave in the WBES Vietnam instrument.</w:t>
      </w:r>
    </w:p>
    <w:bookmarkEnd w:id="71"/>
    <w:bookmarkStart w:id="72" w:name="conflict-of-interest"/>
    <w:p>
      <w:pPr>
        <w:pStyle w:val="Heading2"/>
      </w:pPr>
      <w:r>
        <w:t xml:space="preserve">Conflict of interest</w:t>
      </w:r>
    </w:p>
    <w:p>
      <w:pPr>
        <w:pStyle w:val="FirstParagraph"/>
      </w:pPr>
      <w:r>
        <w:t xml:space="preserve">The authors declare no conflict of interest.</w:t>
      </w:r>
    </w:p>
    <w:bookmarkEnd w:id="72"/>
    <w:bookmarkStart w:id="73"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73"/>
    <w:bookmarkStart w:id="74"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74"/>
    <w:bookmarkStart w:id="75" w:name="ethics-statement"/>
    <w:p>
      <w:pPr>
        <w:pStyle w:val="Heading2"/>
      </w:pPr>
      <w:r>
        <w:t xml:space="preserve">Ethics statement</w:t>
      </w:r>
    </w:p>
    <w:p>
      <w:pPr>
        <w:pStyle w:val="FirstParagraph"/>
      </w:pPr>
      <w:r>
        <w:t xml:space="preserve">This study uses secondary, de-identified, firm-level data from the World Bank Enterprise Surveys. It does not involve human participants, identifiable personal data, animals, or biological samples, and therefore did not require institutional ethical approval. The research was conducted in accordance with the data-access terms of the World Bank Enterprise Surveys.</w:t>
      </w:r>
    </w:p>
    <w:bookmarkEnd w:id="75"/>
    <w:bookmarkStart w:id="76" w:name="X799c23334c5944d058eaf15944a1408ff96b683"/>
    <w:p>
      <w:pPr>
        <w:pStyle w:val="Heading2"/>
      </w:pPr>
      <w:r>
        <w:t xml:space="preserve">Use of generative AI in the writing process</w:t>
      </w:r>
    </w:p>
    <w:p>
      <w:pPr>
        <w:pStyle w:val="FirstParagraph"/>
      </w:pPr>
      <w:r>
        <w:t xml:space="preserve">In preparing this manuscript, the author(s) used Grammarly, a writing-assistance tool, to help correct spelling, grammar, and punctuation in the author(s)' own original text. No generative artificial-intelligence tool was used to generate, draft, or create any substantive content, analysis, or interpretation. All conceptual framing, hypothesis development, empirical analysis, results interpretation, and final wording were produced by the human author(s), who take full responsibility for the content of the publication.</w:t>
      </w:r>
    </w:p>
    <w:bookmarkEnd w:id="76"/>
    <w:bookmarkStart w:id="77" w:name="acknowledgements"/>
    <w:p>
      <w:pPr>
        <w:pStyle w:val="Heading2"/>
      </w:pPr>
      <w:r>
        <w:t xml:space="preserve">Acknowledgements</w:t>
      </w:r>
    </w:p>
    <w:p>
      <w:pPr>
        <w:pStyle w:val="FirstParagraph"/>
      </w:pPr>
      <w:r>
        <w:t xml:space="preserve">[Acknowledgements removed for blind review; see separately submitted Title Page.]</w:t>
      </w:r>
    </w:p>
    <w:bookmarkEnd w:id="77"/>
    <w:bookmarkStart w:id="78"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78"/>
    <w:bookmarkStart w:id="132" w:name="references"/>
    <w:p>
      <w:pPr>
        <w:pStyle w:val="Heading2"/>
      </w:pPr>
      <w:r>
        <w:t xml:space="preserve">References</w:t>
      </w:r>
    </w:p>
    <w:p>
      <w:pPr>
        <w:pStyle w:val="FirstParagraph"/>
      </w:pPr>
      <w:r>
        <w:t xml:space="preserve">Agarwal, R., Barattieri, A. and Mattoo, A. (2026), "Demand shocks, export expansion, and firm-level productivity: evidence from Vietnamese manufacturers", working paper, The World Bank, Washington, DC. [DOI pending; verify and add upon assignment before submission]</w:t>
      </w:r>
    </w:p>
    <w:p>
      <w:pPr>
        <w:pStyle w:val="BodyText"/>
      </w:pPr>
      <w:r>
        <w:t xml:space="preserve">Aguinis, H., Hill, N.S. and Bailey, J.R. (2021), "Best practices in data collection and preparation: recommendations for reviewers, editors, and authors",</w:t>
      </w:r>
      <w:r>
        <w:t xml:space="preserve"> </w:t>
      </w:r>
      <w:r>
        <w:rPr>
          <w:iCs/>
          <w:i/>
        </w:rPr>
        <w:t xml:space="preserve">Organizational Research Methods</w:t>
      </w:r>
      <w:r>
        <w:t xml:space="preserve">, Vol. 24 No. 4, pp.678-693,</w:t>
      </w:r>
      <w:r>
        <w:t xml:space="preserve"> </w:t>
      </w:r>
      <w:hyperlink r:id="rId79">
        <w:r>
          <w:rPr>
            <w:rStyle w:val="Hyperlink"/>
          </w:rPr>
          <w:t xml:space="preserve">https://doi.org/10.1177/1094428119836485</w:t>
        </w:r>
      </w:hyperlink>
    </w:p>
    <w:p>
      <w:pPr>
        <w:pStyle w:val="BodyText"/>
      </w:pPr>
      <w:r>
        <w:t xml:space="preserve">Antonakis, J., Bendahan, S., Jacquart, P. and Lalive, R. (2010), "On making causal claims: a review and recommendations",</w:t>
      </w:r>
      <w:r>
        <w:t xml:space="preserve"> </w:t>
      </w:r>
      <w:r>
        <w:rPr>
          <w:iCs/>
          <w:i/>
        </w:rPr>
        <w:t xml:space="preserve">The Leadership Quarterly</w:t>
      </w:r>
      <w:r>
        <w:t xml:space="preserve">, Vol. 21 No. 6, pp.1086-1120,</w:t>
      </w:r>
      <w:r>
        <w:t xml:space="preserve"> </w:t>
      </w:r>
      <w:hyperlink r:id="rId80">
        <w:r>
          <w:rPr>
            <w:rStyle w:val="Hyperlink"/>
          </w:rPr>
          <w:t xml:space="preserve">https://doi.org/10.1016/j.leaqua.2010.10.010</w:t>
        </w:r>
      </w:hyperlink>
    </w:p>
    <w:p>
      <w:pPr>
        <w:pStyle w:val="BodyText"/>
      </w:pPr>
      <w:r>
        <w:t xml:space="preserve">Banalieva, E.R. and Dhanaraj, C. (2019), "Internalization theory for the digital economy",</w:t>
      </w:r>
      <w:r>
        <w:t xml:space="preserve"> </w:t>
      </w:r>
      <w:r>
        <w:rPr>
          <w:iCs/>
          <w:i/>
        </w:rPr>
        <w:t xml:space="preserve">Journal of International Business Studies</w:t>
      </w:r>
      <w:r>
        <w:t xml:space="preserve">, Vol. 50 No. 8, pp.1372-1387,</w:t>
      </w:r>
      <w:r>
        <w:t xml:space="preserve"> </w:t>
      </w:r>
      <w:hyperlink r:id="rId81">
        <w:r>
          <w:rPr>
            <w:rStyle w:val="Hyperlink"/>
          </w:rPr>
          <w:t xml:space="preserve">https://doi.org/10.1057/s41267-019-00243-7</w:t>
        </w:r>
      </w:hyperlink>
    </w:p>
    <w:p>
      <w:pPr>
        <w:pStyle w:val="BodyText"/>
      </w:pPr>
      <w:r>
        <w:t xml:space="preserve">Barattieri, A., Mattoo, A. and Signoret, J.E. (2026), "Service trade liberalization and productivity growth: micro-evidence from Vietnam, 2008-2016", working paper, The World Bank, Washington, DC. [DOI pending; verify and add upon assignment before submission]</w:t>
      </w:r>
    </w:p>
    <w:p>
      <w:pPr>
        <w:pStyle w:val="BodyText"/>
      </w:pPr>
      <w:r>
        <w:t xml:space="preserve">Barney, J. (1991), "Firm resources and sustained competitive advantage",</w:t>
      </w:r>
      <w:r>
        <w:t xml:space="preserve"> </w:t>
      </w:r>
      <w:r>
        <w:rPr>
          <w:iCs/>
          <w:i/>
        </w:rPr>
        <w:t xml:space="preserve">Journal of Management</w:t>
      </w:r>
      <w:r>
        <w:t xml:space="preserve">, Vol. 17 No. 1, pp.99-120,</w:t>
      </w:r>
      <w:r>
        <w:t xml:space="preserve"> </w:t>
      </w:r>
      <w:hyperlink r:id="rId82">
        <w:r>
          <w:rPr>
            <w:rStyle w:val="Hyperlink"/>
          </w:rPr>
          <w:t xml:space="preserve">https://doi.org/10.1177/014920639101700108</w:t>
        </w:r>
      </w:hyperlink>
    </w:p>
    <w:p>
      <w:pPr>
        <w:pStyle w:val="BodyText"/>
      </w:pPr>
      <w:r>
        <w:t xml:space="preserve">Bernard, A.B., Jensen, J.B., Redding, S.J. and Schott, P.K. (2007), "Firms in international trade",</w:t>
      </w:r>
      <w:r>
        <w:t xml:space="preserve"> </w:t>
      </w:r>
      <w:r>
        <w:rPr>
          <w:iCs/>
          <w:i/>
        </w:rPr>
        <w:t xml:space="preserve">Journal of Economic Perspectives</w:t>
      </w:r>
      <w:r>
        <w:t xml:space="preserve">, Vol. 21 No. 3, pp.105-130,</w:t>
      </w:r>
      <w:r>
        <w:t xml:space="preserve"> </w:t>
      </w:r>
      <w:hyperlink r:id="rId83">
        <w:r>
          <w:rPr>
            <w:rStyle w:val="Hyperlink"/>
          </w:rPr>
          <w:t xml:space="preserve">https://doi.org/10.1257/jep.21.3.105</w:t>
        </w:r>
      </w:hyperlink>
    </w:p>
    <w:p>
      <w:pPr>
        <w:pStyle w:val="BodyText"/>
      </w:pPr>
      <w:r>
        <w:t xml:space="preserve">Bharadwaj, A., El Sawy, O.A., Pavlou, P.A. and Venkatraman, N. (2013), "Digital business strategy: toward a next generation of insights",</w:t>
      </w:r>
      <w:r>
        <w:t xml:space="preserve"> </w:t>
      </w:r>
      <w:r>
        <w:rPr>
          <w:iCs/>
          <w:i/>
        </w:rPr>
        <w:t xml:space="preserve">MIS Quarterly</w:t>
      </w:r>
      <w:r>
        <w:t xml:space="preserve">, Vol. 37 No. 2, pp.471-482,</w:t>
      </w:r>
      <w:r>
        <w:t xml:space="preserve"> </w:t>
      </w:r>
      <w:hyperlink r:id="rId84">
        <w:r>
          <w:rPr>
            <w:rStyle w:val="Hyperlink"/>
          </w:rPr>
          <w:t xml:space="preserve">https://doi.org/10.25300/misq/2013/37:2.3</w:t>
        </w:r>
      </w:hyperlink>
    </w:p>
    <w:p>
      <w:pPr>
        <w:pStyle w:val="BodyText"/>
      </w:pPr>
      <w:r>
        <w:t xml:space="preserve">Brouthers, K.D., Geisser, K.D. and Rothlauf, F. (2016), "Explaining the internationalization of iBusiness firms",</w:t>
      </w:r>
      <w:r>
        <w:t xml:space="preserve"> </w:t>
      </w:r>
      <w:r>
        <w:rPr>
          <w:iCs/>
          <w:i/>
        </w:rPr>
        <w:t xml:space="preserve">Journal of International Business Studies</w:t>
      </w:r>
      <w:r>
        <w:t xml:space="preserve">, Vol. 47 No. 5, pp.513-534,</w:t>
      </w:r>
      <w:r>
        <w:t xml:space="preserve"> </w:t>
      </w:r>
      <w:hyperlink r:id="rId85">
        <w:r>
          <w:rPr>
            <w:rStyle w:val="Hyperlink"/>
          </w:rPr>
          <w:t xml:space="preserve">https://doi.org/10.1057/jibs.2015.20</w:t>
        </w:r>
      </w:hyperlink>
    </w:p>
    <w:p>
      <w:pPr>
        <w:pStyle w:val="BodyText"/>
      </w:pPr>
      <w:r>
        <w:t xml:space="preserve">Brynjolfsson, E., Rock, D. and Syverson, C. (2021), "The productivity J-curve: how intangibles complement general purpose technologies",</w:t>
      </w:r>
      <w:r>
        <w:t xml:space="preserve"> </w:t>
      </w:r>
      <w:r>
        <w:rPr>
          <w:iCs/>
          <w:i/>
        </w:rPr>
        <w:t xml:space="preserve">American Economic Journal: Macroeconomics</w:t>
      </w:r>
      <w:r>
        <w:t xml:space="preserve">, Vol. 13 No. 1, pp.333-372,</w:t>
      </w:r>
      <w:r>
        <w:t xml:space="preserve"> </w:t>
      </w:r>
      <w:hyperlink r:id="rId86">
        <w:r>
          <w:rPr>
            <w:rStyle w:val="Hyperlink"/>
          </w:rPr>
          <w:t xml:space="preserve">https://doi.org/10.1257/mac.20180386</w:t>
        </w:r>
      </w:hyperlink>
    </w:p>
    <w:p>
      <w:pPr>
        <w:pStyle w:val="BodyText"/>
      </w:pPr>
      <w:r>
        <w:t xml:space="preserve">Certo, S.T., Busenbark, J.R., Woo, H.-S. and Semadeni, M. (2016), "Sample selection bias and Heckman models in strategic management research",</w:t>
      </w:r>
      <w:r>
        <w:t xml:space="preserve"> </w:t>
      </w:r>
      <w:r>
        <w:rPr>
          <w:iCs/>
          <w:i/>
        </w:rPr>
        <w:t xml:space="preserve">Strategic Management Journal</w:t>
      </w:r>
      <w:r>
        <w:t xml:space="preserve">, Vol. 37 No. 13, pp.2639-2657,</w:t>
      </w:r>
      <w:r>
        <w:t xml:space="preserve"> </w:t>
      </w:r>
      <w:hyperlink r:id="rId87">
        <w:r>
          <w:rPr>
            <w:rStyle w:val="Hyperlink"/>
          </w:rPr>
          <w:t xml:space="preserve">https://doi.org/10.1002/smj.2475</w:t>
        </w:r>
      </w:hyperlink>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pp.128-152,</w:t>
      </w:r>
      <w:r>
        <w:t xml:space="preserve"> </w:t>
      </w:r>
      <w:hyperlink r:id="rId88">
        <w:r>
          <w:rPr>
            <w:rStyle w:val="Hyperlink"/>
          </w:rPr>
          <w:t xml:space="preserve">https://doi.org/10.2307/2393553</w:t>
        </w:r>
      </w:hyperlink>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pp.453-475,</w:t>
      </w:r>
      <w:r>
        <w:t xml:space="preserve"> </w:t>
      </w:r>
      <w:hyperlink r:id="rId89">
        <w:r>
          <w:rPr>
            <w:rStyle w:val="Hyperlink"/>
          </w:rPr>
          <w:t xml:space="preserve">https://doi.org/10.1007/s11575-007-0024-2</w:t>
        </w:r>
      </w:hyperlink>
    </w:p>
    <w:p>
      <w:pPr>
        <w:pStyle w:val="BodyText"/>
      </w:pPr>
      <w:r>
        <w:t xml:space="preserve">Coviello, N., Kano, L. and Liesch, P.W. (2017), "Adapting the Uppsala model to a modern world: macro-context and microfoundations",</w:t>
      </w:r>
      <w:r>
        <w:t xml:space="preserve"> </w:t>
      </w:r>
      <w:r>
        <w:rPr>
          <w:iCs/>
          <w:i/>
        </w:rPr>
        <w:t xml:space="preserve">Journal of International Business Studies</w:t>
      </w:r>
      <w:r>
        <w:t xml:space="preserve">, Vol. 48 No. 9, pp.1151-1164,</w:t>
      </w:r>
      <w:r>
        <w:t xml:space="preserve"> </w:t>
      </w:r>
      <w:hyperlink r:id="rId90">
        <w:r>
          <w:rPr>
            <w:rStyle w:val="Hyperlink"/>
          </w:rPr>
          <w:t xml:space="preserve">https://doi.org/10.1057/s41267-017-0120-x</w:t>
        </w:r>
      </w:hyperlink>
    </w:p>
    <w:p>
      <w:pPr>
        <w:pStyle w:val="BodyText"/>
      </w:pPr>
      <w:r>
        <w:t xml:space="preserve">Cuervo-Cazurra, A. and Genc, M. (2008), "Transforming disadvantages into advantages: developing-country MNEs in the least developed countries",</w:t>
      </w:r>
      <w:r>
        <w:t xml:space="preserve"> </w:t>
      </w:r>
      <w:r>
        <w:rPr>
          <w:iCs/>
          <w:i/>
        </w:rPr>
        <w:t xml:space="preserve">Journal of International Business Studies</w:t>
      </w:r>
      <w:r>
        <w:t xml:space="preserve">, Vol. 39 No. 6, pp.957-979,</w:t>
      </w:r>
      <w:r>
        <w:t xml:space="preserve"> </w:t>
      </w:r>
      <w:hyperlink r:id="rId91">
        <w:r>
          <w:rPr>
            <w:rStyle w:val="Hyperlink"/>
          </w:rPr>
          <w:t xml:space="preserve">https://doi.org/10.1057/palgrave.jibs.8400390</w:t>
        </w:r>
      </w:hyperlink>
    </w:p>
    <w:p>
      <w:pPr>
        <w:pStyle w:val="BodyText"/>
      </w:pPr>
      <w:r>
        <w:t xml:space="preserve">Eisenhardt, K.M. and Martin, J.A. (2000), "Dynamic capabilities: what are they?",</w:t>
      </w:r>
      <w:r>
        <w:t xml:space="preserve"> </w:t>
      </w:r>
      <w:r>
        <w:rPr>
          <w:iCs/>
          <w:i/>
        </w:rPr>
        <w:t xml:space="preserve">Strategic Management Journal</w:t>
      </w:r>
      <w:r>
        <w:t xml:space="preserve">, Vol. 21 No. 10-11, pp.1105-1121,</w:t>
      </w:r>
      <w:r>
        <w:t xml:space="preserve"> </w:t>
      </w:r>
      <w:hyperlink r:id="rId92">
        <w:r>
          <w:rPr>
            <w:rStyle w:val="Hyperlink"/>
          </w:rPr>
          <w:t xml:space="preserve">https://doi.org/10.1002/1097-0266(200010/11)21:10/11</w:t>
        </w:r>
      </w:hyperlink>
      <w:r>
        <w:t xml:space="preserve">&lt;1105::AID-SMJ133&gt;3.0.CO;2-E</w:t>
      </w:r>
    </w:p>
    <w:p>
      <w:pPr>
        <w:pStyle w:val="BodyText"/>
      </w:pPr>
      <w:r>
        <w:t xml:space="preserve">Goldfarb, A. and Tucker, C. (2019), "Digital economics",</w:t>
      </w:r>
      <w:r>
        <w:t xml:space="preserve"> </w:t>
      </w:r>
      <w:r>
        <w:rPr>
          <w:iCs/>
          <w:i/>
        </w:rPr>
        <w:t xml:space="preserve">Journal of Economic Literature</w:t>
      </w:r>
      <w:r>
        <w:t xml:space="preserve">, Vol. 57 No. 1, pp.3-43,</w:t>
      </w:r>
      <w:r>
        <w:t xml:space="preserve"> </w:t>
      </w:r>
      <w:hyperlink r:id="rId93">
        <w:r>
          <w:rPr>
            <w:rStyle w:val="Hyperlink"/>
          </w:rPr>
          <w:t xml:space="preserve">https://doi.org/10.1257/jel.20171452</w:t>
        </w:r>
      </w:hyperlink>
    </w:p>
    <w:p>
      <w:pPr>
        <w:pStyle w:val="BodyText"/>
      </w:pPr>
      <w:r>
        <w:t xml:space="preserve">Haans, R.F.J., Pieters, C. and He, Z.-L. (2016), "Thinking about U: theorizing and testing U- and inverted U-shaped relationships in strategy research",</w:t>
      </w:r>
      <w:r>
        <w:t xml:space="preserve"> </w:t>
      </w:r>
      <w:r>
        <w:rPr>
          <w:iCs/>
          <w:i/>
        </w:rPr>
        <w:t xml:space="preserve">Strategic Management Journal</w:t>
      </w:r>
      <w:r>
        <w:t xml:space="preserve">, Vol. 37 No. 7, pp.1177-1195,</w:t>
      </w:r>
      <w:r>
        <w:t xml:space="preserve"> </w:t>
      </w:r>
      <w:hyperlink r:id="rId94">
        <w:r>
          <w:rPr>
            <w:rStyle w:val="Hyperlink"/>
          </w:rPr>
          <w:t xml:space="preserve">https://doi.org/10.1002/smj.2399</w:t>
        </w:r>
      </w:hyperlink>
    </w:p>
    <w:p>
      <w:pPr>
        <w:pStyle w:val="BodyText"/>
      </w:pPr>
      <w:r>
        <w:t xml:space="preserve">Hanelt, A., Bohnsack, R., Marz, D. and Antunes Marante, C. (2021), "A systematic review of the literature on digital transformation: insights and implications for strategy and organizational change",</w:t>
      </w:r>
      <w:r>
        <w:t xml:space="preserve"> </w:t>
      </w:r>
      <w:r>
        <w:rPr>
          <w:iCs/>
          <w:i/>
        </w:rPr>
        <w:t xml:space="preserve">Journal of Management Studies</w:t>
      </w:r>
      <w:r>
        <w:t xml:space="preserve">, Vol. 58 No. 5, pp.1159-1197,</w:t>
      </w:r>
      <w:r>
        <w:t xml:space="preserve"> </w:t>
      </w:r>
      <w:hyperlink r:id="rId95">
        <w:r>
          <w:rPr>
            <w:rStyle w:val="Hyperlink"/>
          </w:rPr>
          <w:t xml:space="preserve">https://doi.org/10.1111/joms.12639</w:t>
        </w:r>
      </w:hyperlink>
    </w:p>
    <w:p>
      <w:pPr>
        <w:pStyle w:val="BodyText"/>
      </w:pPr>
      <w:r>
        <w:t xml:space="preserve">Heckman, J.J. (1979), "Sample selection bias as a specification error",</w:t>
      </w:r>
      <w:r>
        <w:t xml:space="preserve"> </w:t>
      </w:r>
      <w:r>
        <w:rPr>
          <w:iCs/>
          <w:i/>
        </w:rPr>
        <w:t xml:space="preserve">Econometrica</w:t>
      </w:r>
      <w:r>
        <w:t xml:space="preserve">, Vol. 47 No. 1, pp.153-161,</w:t>
      </w:r>
      <w:r>
        <w:t xml:space="preserve"> </w:t>
      </w:r>
      <w:hyperlink r:id="rId96">
        <w:r>
          <w:rPr>
            <w:rStyle w:val="Hyperlink"/>
          </w:rPr>
          <w:t xml:space="preserve">https://doi.org/10.2307/1912352</w:t>
        </w:r>
      </w:hyperlink>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pp.423-452,</w:t>
      </w:r>
      <w:r>
        <w:t xml:space="preserve"> </w:t>
      </w:r>
      <w:hyperlink r:id="rId97">
        <w:r>
          <w:rPr>
            <w:rStyle w:val="Hyperlink"/>
          </w:rPr>
          <w:t xml:space="preserve">https://doi.org/10.1007/s11575-007-0023-3</w:t>
        </w:r>
      </w:hyperlink>
    </w:p>
    <w:p>
      <w:pPr>
        <w:pStyle w:val="BodyText"/>
      </w:pPr>
      <w:r>
        <w:t xml:space="preserve">Hennart, J.-F. (2011), "A theoretical assessment of the empirical literature on the impact of multinationality on performance",</w:t>
      </w:r>
      <w:r>
        <w:t xml:space="preserve"> </w:t>
      </w:r>
      <w:r>
        <w:rPr>
          <w:iCs/>
          <w:i/>
        </w:rPr>
        <w:t xml:space="preserve">Global Strategy Journal</w:t>
      </w:r>
      <w:r>
        <w:t xml:space="preserve">, Vol. 1 No. 1-2, pp.135-151,</w:t>
      </w:r>
      <w:r>
        <w:t xml:space="preserve"> </w:t>
      </w:r>
      <w:hyperlink r:id="rId98">
        <w:r>
          <w:rPr>
            <w:rStyle w:val="Hyperlink"/>
          </w:rPr>
          <w:t xml:space="preserve">https://doi.org/10.1002/gsj.8</w:t>
        </w:r>
      </w:hyperlink>
    </w:p>
    <w:p>
      <w:pPr>
        <w:pStyle w:val="BodyText"/>
      </w:pPr>
      <w:r>
        <w:t xml:space="preserve">Hitt, M.A., Hoskisson, R.E. and Kim, H. (1997), "International diversification: effects on innovation and firm performance in product-diversified firms",</w:t>
      </w:r>
      <w:r>
        <w:t xml:space="preserve"> </w:t>
      </w:r>
      <w:r>
        <w:rPr>
          <w:iCs/>
          <w:i/>
        </w:rPr>
        <w:t xml:space="preserve">Academy of Management Journal</w:t>
      </w:r>
      <w:r>
        <w:t xml:space="preserve">, Vol. 40 No. 4, pp.767-798,</w:t>
      </w:r>
      <w:r>
        <w:t xml:space="preserve"> </w:t>
      </w:r>
      <w:hyperlink r:id="rId99">
        <w:r>
          <w:rPr>
            <w:rStyle w:val="Hyperlink"/>
          </w:rPr>
          <w:t xml:space="preserve">https://doi.org/10.2307/256948</w:t>
        </w:r>
      </w:hyperlink>
    </w:p>
    <w:p>
      <w:pPr>
        <w:pStyle w:val="BodyText"/>
      </w:pPr>
      <w:r>
        <w:t xml:space="preserve">International Telecommunication Union (2026),</w:t>
      </w:r>
      <w:r>
        <w:t xml:space="preserve"> </w:t>
      </w:r>
      <w:r>
        <w:rPr>
          <w:iCs/>
          <w:i/>
        </w:rPr>
        <w:t xml:space="preserve">World Telecommunication/ICT Indicators Database</w:t>
      </w:r>
      <w:r>
        <w:t xml:space="preserve"> </w:t>
      </w:r>
      <w:r>
        <w:t xml:space="preserve">[data set], available at:</w:t>
      </w:r>
      <w:r>
        <w:t xml:space="preserve"> </w:t>
      </w:r>
      <w:hyperlink r:id="rId100">
        <w:r>
          <w:rPr>
            <w:rStyle w:val="Hyperlink"/>
          </w:rPr>
          <w:t xml:space="preserve">https://www.itu.int/en/ITU-D/Statistics/Pages/publications/wtid.aspx</w:t>
        </w:r>
      </w:hyperlink>
      <w:r>
        <w:t xml:space="preserve"> </w:t>
      </w:r>
      <w:r>
        <w:t xml:space="preserve">(accessed 9 May 2026).</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pp.23-32,</w:t>
      </w:r>
      <w:r>
        <w:t xml:space="preserve"> </w:t>
      </w:r>
      <w:hyperlink r:id="rId101">
        <w:r>
          <w:rPr>
            <w:rStyle w:val="Hyperlink"/>
          </w:rPr>
          <w:t xml:space="preserve">https://doi.org/10.1057/palgrave.jibs.8490676</w:t>
        </w:r>
      </w:hyperlink>
    </w:p>
    <w:p>
      <w:pPr>
        <w:pStyle w:val="BodyText"/>
      </w:pPr>
      <w:r>
        <w:t xml:space="preserve">Johanson, J. and Vahlne, J.-E. (2009), "The Uppsala internationalization process model revisited: from liability of foreignness to liability of outsidership",</w:t>
      </w:r>
      <w:r>
        <w:t xml:space="preserve"> </w:t>
      </w:r>
      <w:r>
        <w:rPr>
          <w:iCs/>
          <w:i/>
        </w:rPr>
        <w:t xml:space="preserve">Journal of International Business Studies</w:t>
      </w:r>
      <w:r>
        <w:t xml:space="preserve">, Vol. 40 No. 9, pp.1411-1431,</w:t>
      </w:r>
      <w:r>
        <w:t xml:space="preserve"> </w:t>
      </w:r>
      <w:hyperlink r:id="rId102">
        <w:r>
          <w:rPr>
            <w:rStyle w:val="Hyperlink"/>
          </w:rPr>
          <w:t xml:space="preserve">https://doi.org/10.1057/jibs.2009.24</w:t>
        </w:r>
      </w:hyperlink>
    </w:p>
    <w:p>
      <w:pPr>
        <w:pStyle w:val="BodyText"/>
      </w:pPr>
      <w:r>
        <w:t xml:space="preserve">Karna, A., Richter, A. and Riesenkampff, E. (2016), "Revisiting the role of the environment in the capabilities-financial performance relationship: a meta-analysis",</w:t>
      </w:r>
      <w:r>
        <w:t xml:space="preserve"> </w:t>
      </w:r>
      <w:r>
        <w:rPr>
          <w:iCs/>
          <w:i/>
        </w:rPr>
        <w:t xml:space="preserve">Strategic Management Journal</w:t>
      </w:r>
      <w:r>
        <w:t xml:space="preserve">, Vol. 37 No. 6, pp.1154-1173,</w:t>
      </w:r>
      <w:r>
        <w:t xml:space="preserve"> </w:t>
      </w:r>
      <w:hyperlink r:id="rId103">
        <w:r>
          <w:rPr>
            <w:rStyle w:val="Hyperlink"/>
          </w:rPr>
          <w:t xml:space="preserve">https://doi.org/10.1002/smj.2379</w:t>
        </w:r>
      </w:hyperlink>
    </w:p>
    <w:p>
      <w:pPr>
        <w:pStyle w:val="BodyText"/>
      </w:pPr>
      <w:r>
        <w:t xml:space="preserve">Knight, G.A. and Liesch, P.W. (2016), "Internationalization: from incremental to born global",</w:t>
      </w:r>
      <w:r>
        <w:t xml:space="preserve"> </w:t>
      </w:r>
      <w:r>
        <w:rPr>
          <w:iCs/>
          <w:i/>
        </w:rPr>
        <w:t xml:space="preserve">Journal of World Business</w:t>
      </w:r>
      <w:r>
        <w:t xml:space="preserve">, Vol. 51 No. 1, pp.93-102,</w:t>
      </w:r>
      <w:r>
        <w:t xml:space="preserve"> </w:t>
      </w:r>
      <w:hyperlink r:id="rId104">
        <w:r>
          <w:rPr>
            <w:rStyle w:val="Hyperlink"/>
          </w:rPr>
          <w:t xml:space="preserve">https://doi.org/10.1016/j.jwb.2015.08.011</w:t>
        </w:r>
      </w:hyperlink>
    </w:p>
    <w:p>
      <w:pPr>
        <w:pStyle w:val="BodyText"/>
      </w:pPr>
      <w:r>
        <w:t xml:space="preserve">Lall, S. (1992), "Technological capabilities and industrialization",</w:t>
      </w:r>
      <w:r>
        <w:t xml:space="preserve"> </w:t>
      </w:r>
      <w:r>
        <w:rPr>
          <w:iCs/>
          <w:i/>
        </w:rPr>
        <w:t xml:space="preserve">World Development</w:t>
      </w:r>
      <w:r>
        <w:t xml:space="preserve">, Vol. 20 No. 2, pp.165-186,</w:t>
      </w:r>
      <w:r>
        <w:t xml:space="preserve"> </w:t>
      </w:r>
      <w:hyperlink r:id="rId105">
        <w:r>
          <w:rPr>
            <w:rStyle w:val="Hyperlink"/>
          </w:rPr>
          <w:t xml:space="preserve">https://doi.org/10.1016/0305-750X(92)90097-F</w:t>
        </w:r>
      </w:hyperlink>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pp.109-118,</w:t>
      </w:r>
      <w:r>
        <w:t xml:space="preserve"> </w:t>
      </w:r>
      <w:hyperlink r:id="rId106">
        <w:r>
          <w:rPr>
            <w:rStyle w:val="Hyperlink"/>
          </w:rPr>
          <w:t xml:space="preserve">https://doi.org/10.1111/j.1468-0084.2009.00569.x</w:t>
        </w:r>
      </w:hyperlink>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pp.598-609,</w:t>
      </w:r>
      <w:r>
        <w:t xml:space="preserve"> </w:t>
      </w:r>
      <w:hyperlink r:id="rId107">
        <w:r>
          <w:rPr>
            <w:rStyle w:val="Hyperlink"/>
          </w:rPr>
          <w:t xml:space="preserve">https://doi.org/10.2307/20159604</w:t>
        </w:r>
      </w:hyperlink>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pp.1075-1110,</w:t>
      </w:r>
      <w:r>
        <w:t xml:space="preserve"> </w:t>
      </w:r>
      <w:hyperlink r:id="rId108">
        <w:r>
          <w:rPr>
            <w:rStyle w:val="Hyperlink"/>
          </w:rPr>
          <w:t xml:space="preserve">https://doi.org/10.1177/0149206315624963</w:t>
        </w:r>
      </w:hyperlink>
    </w:p>
    <w:p>
      <w:pPr>
        <w:pStyle w:val="BodyText"/>
      </w:pPr>
      <w:r>
        <w:t xml:space="preserve">Nambisan, S., Wright, M. and Feldman, M. (2019), "The digital transformation of innovation and entrepreneurship: progress, challenges and key themes",</w:t>
      </w:r>
      <w:r>
        <w:t xml:space="preserve"> </w:t>
      </w:r>
      <w:r>
        <w:rPr>
          <w:iCs/>
          <w:i/>
        </w:rPr>
        <w:t xml:space="preserve">Research Policy</w:t>
      </w:r>
      <w:r>
        <w:t xml:space="preserve">, Vol. 48 No. 8, p.103773,</w:t>
      </w:r>
      <w:r>
        <w:t xml:space="preserve"> </w:t>
      </w:r>
      <w:hyperlink r:id="rId109">
        <w:r>
          <w:rPr>
            <w:rStyle w:val="Hyperlink"/>
          </w:rPr>
          <w:t xml:space="preserve">https://doi.org/10.1016/j.respol.2019.03.018</w:t>
        </w:r>
      </w:hyperlink>
    </w:p>
    <w:p>
      <w:pPr>
        <w:pStyle w:val="BodyText"/>
      </w:pPr>
      <w:r>
        <w:t xml:space="preserve">Oster, E. (2019), "Unobservable selection and coefficient stability: theory and evidence",</w:t>
      </w:r>
      <w:r>
        <w:t xml:space="preserve"> </w:t>
      </w:r>
      <w:r>
        <w:rPr>
          <w:iCs/>
          <w:i/>
        </w:rPr>
        <w:t xml:space="preserve">Journal of Business &amp; Economic Statistics</w:t>
      </w:r>
      <w:r>
        <w:t xml:space="preserve">, Vol. 37 No. 2, pp.187-204,</w:t>
      </w:r>
      <w:r>
        <w:t xml:space="preserve"> </w:t>
      </w:r>
      <w:hyperlink r:id="rId110">
        <w:r>
          <w:rPr>
            <w:rStyle w:val="Hyperlink"/>
          </w:rPr>
          <w:t xml:space="preserve">https://doi.org/10.1080/07350015.2016.1227711</w:t>
        </w:r>
      </w:hyperlink>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pp.859-866,</w:t>
      </w:r>
      <w:r>
        <w:t xml:space="preserve"> </w:t>
      </w:r>
      <w:hyperlink r:id="rId111">
        <w:r>
          <w:rPr>
            <w:rStyle w:val="Hyperlink"/>
          </w:rPr>
          <w:t xml:space="preserve">https://doi.org/10.1111/j.1745-9125.1998.tb01268.x</w:t>
        </w:r>
      </w:hyperlink>
    </w:p>
    <w:p>
      <w:pPr>
        <w:pStyle w:val="BodyText"/>
      </w:pPr>
      <w:r>
        <w:t xml:space="preserve">Petricevic, O. and Teece, D.J. (2019), "The structural reshaping of globalization: implications for strategic sectors, profiting from innovation, and the multinational enterprise",</w:t>
      </w:r>
      <w:r>
        <w:t xml:space="preserve"> </w:t>
      </w:r>
      <w:r>
        <w:rPr>
          <w:iCs/>
          <w:i/>
        </w:rPr>
        <w:t xml:space="preserve">Journal of International Business Studies</w:t>
      </w:r>
      <w:r>
        <w:t xml:space="preserve">, Vol. 50 No. 9, pp.1487-1512,</w:t>
      </w:r>
      <w:r>
        <w:t xml:space="preserve"> </w:t>
      </w:r>
      <w:hyperlink r:id="rId112">
        <w:r>
          <w:rPr>
            <w:rStyle w:val="Hyperlink"/>
          </w:rPr>
          <w:t xml:space="preserve">https://doi.org/10.1057/s41267-019-00269-x</w:t>
        </w:r>
      </w:hyperlink>
    </w:p>
    <w:p>
      <w:pPr>
        <w:pStyle w:val="BodyText"/>
      </w:pPr>
      <w:r>
        <w:t xml:space="preserve">Pisani, N., Garcia-Bernardo, J. and Heemskerk, E. (2020), "Does it pay to be a multinational? A large-sample, cross-national replication assessing the multinationality-performance relationship",</w:t>
      </w:r>
      <w:r>
        <w:t xml:space="preserve"> </w:t>
      </w:r>
      <w:r>
        <w:rPr>
          <w:iCs/>
          <w:i/>
        </w:rPr>
        <w:t xml:space="preserve">Strategic Management Journal</w:t>
      </w:r>
      <w:r>
        <w:t xml:space="preserve">, Vol. 41 No. 1, pp.152-172,</w:t>
      </w:r>
      <w:r>
        <w:t xml:space="preserve"> </w:t>
      </w:r>
      <w:hyperlink r:id="rId113">
        <w:r>
          <w:rPr>
            <w:rStyle w:val="Hyperlink"/>
          </w:rPr>
          <w:t xml:space="preserve">https://doi.org/10.1002/smj.3087</w:t>
        </w:r>
      </w:hyperlink>
    </w:p>
    <w:p>
      <w:pPr>
        <w:pStyle w:val="BodyText"/>
      </w:pPr>
      <w:r>
        <w:t xml:space="preserve">Prime Minister of Vietnam (2020), "Decision No. 749/QD-TTg approving the 'National Digital Transformation Programme by 2025, with orientations towards 2030'", available at:</w:t>
      </w:r>
      <w:r>
        <w:t xml:space="preserve"> </w:t>
      </w:r>
      <w:hyperlink r:id="rId114">
        <w:r>
          <w:rPr>
            <w:rStyle w:val="Hyperlink"/>
          </w:rPr>
          <w:t xml:space="preserve">https://english.luatvietnam.vn/decision-no-749-qd-ttg-on-approving-the-national-digital-transformation-program-until-2025-with-a-vision-184241-doc1.html</w:t>
        </w:r>
      </w:hyperlink>
      <w:r>
        <w:t xml:space="preserve"> </w:t>
      </w:r>
      <w:r>
        <w:t xml:space="preserve">(accessed 9 May 2026).</w:t>
      </w:r>
    </w:p>
    <w:p>
      <w:pPr>
        <w:pStyle w:val="BodyText"/>
      </w:pPr>
      <w:r>
        <w:t xml:space="preserve">Shaver, J.M. (2020), "Causal identification through a cumulative body of research in the study of strategy and organizations",</w:t>
      </w:r>
      <w:r>
        <w:t xml:space="preserve"> </w:t>
      </w:r>
      <w:r>
        <w:rPr>
          <w:iCs/>
          <w:i/>
        </w:rPr>
        <w:t xml:space="preserve">Journal of Management</w:t>
      </w:r>
      <w:r>
        <w:t xml:space="preserve">, Vol. 46 No. 7, pp.1244-1256,</w:t>
      </w:r>
      <w:r>
        <w:t xml:space="preserve"> </w:t>
      </w:r>
      <w:hyperlink r:id="rId115">
        <w:r>
          <w:rPr>
            <w:rStyle w:val="Hyperlink"/>
          </w:rPr>
          <w:t xml:space="preserve">https://doi.org/10.1177/0149206319846272</w:t>
        </w:r>
      </w:hyperlink>
    </w:p>
    <w:p>
      <w:pPr>
        <w:pStyle w:val="BodyText"/>
      </w:pPr>
      <w:r>
        <w:t xml:space="preserve">Staiger, D. and Stock, J.H. (1997), "Instrumental variables regression with weak instruments",</w:t>
      </w:r>
      <w:r>
        <w:t xml:space="preserve"> </w:t>
      </w:r>
      <w:r>
        <w:rPr>
          <w:iCs/>
          <w:i/>
        </w:rPr>
        <w:t xml:space="preserve">Econometrica</w:t>
      </w:r>
      <w:r>
        <w:t xml:space="preserve">, Vol. 65 No. 3, pp.557-586,</w:t>
      </w:r>
      <w:r>
        <w:t xml:space="preserve"> </w:t>
      </w:r>
      <w:hyperlink r:id="rId116">
        <w:r>
          <w:rPr>
            <w:rStyle w:val="Hyperlink"/>
          </w:rPr>
          <w:t xml:space="preserve">https://doi.org/10.2307/2171753</w:t>
        </w:r>
      </w:hyperlink>
    </w:p>
    <w:p>
      <w:pPr>
        <w:pStyle w:val="BodyText"/>
      </w:pPr>
      <w:r>
        <w:t xml:space="preserve">Stallkamp, M. and Schotter, A.P.J. (2021), "Platforms without borders? The international strategies of digital platform firms",</w:t>
      </w:r>
      <w:r>
        <w:t xml:space="preserve"> </w:t>
      </w:r>
      <w:r>
        <w:rPr>
          <w:iCs/>
          <w:i/>
        </w:rPr>
        <w:t xml:space="preserve">Global Strategy Journal</w:t>
      </w:r>
      <w:r>
        <w:t xml:space="preserve">, Vol. 11 No. 1, pp.58-80,</w:t>
      </w:r>
      <w:r>
        <w:t xml:space="preserve"> </w:t>
      </w:r>
      <w:hyperlink r:id="rId117">
        <w:r>
          <w:rPr>
            <w:rStyle w:val="Hyperlink"/>
          </w:rPr>
          <w:t xml:space="preserve">https://doi.org/10.1002/gsj.1336</w:t>
        </w:r>
      </w:hyperlink>
    </w:p>
    <w:p>
      <w:pPr>
        <w:pStyle w:val="BodyText"/>
      </w:pPr>
      <w:r>
        <w:t xml:space="preserve">Strange, R. and Zucchella, A. (2017), "Industry 4.0, global value chains and international business",</w:t>
      </w:r>
      <w:r>
        <w:t xml:space="preserve"> </w:t>
      </w:r>
      <w:r>
        <w:rPr>
          <w:iCs/>
          <w:i/>
        </w:rPr>
        <w:t xml:space="preserve">Multinational Business Review</w:t>
      </w:r>
      <w:r>
        <w:t xml:space="preserve">, Vol. 25 No. 3, pp.174-184,</w:t>
      </w:r>
      <w:r>
        <w:t xml:space="preserve"> </w:t>
      </w:r>
      <w:hyperlink r:id="rId118">
        <w:r>
          <w:rPr>
            <w:rStyle w:val="Hyperlink"/>
          </w:rPr>
          <w:t xml:space="preserve">https://doi.org/10.1108/MBR-05-2017-0028</w:t>
        </w:r>
      </w:hyperlink>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pp.1319-1350,</w:t>
      </w:r>
      <w:r>
        <w:t xml:space="preserve"> </w:t>
      </w:r>
      <w:hyperlink r:id="rId119">
        <w:r>
          <w:rPr>
            <w:rStyle w:val="Hyperlink"/>
          </w:rPr>
          <w:t xml:space="preserve">https://doi.org/10.1002/smj.640</w:t>
        </w:r>
      </w:hyperlink>
    </w:p>
    <w:p>
      <w:pPr>
        <w:pStyle w:val="BodyText"/>
      </w:pPr>
      <w:r>
        <w:t xml:space="preserve">Vahlne, J.-E. (2020), "Development of the Uppsala model of internationalization process: from internationalization to evolution",</w:t>
      </w:r>
      <w:r>
        <w:t xml:space="preserve"> </w:t>
      </w:r>
      <w:r>
        <w:rPr>
          <w:iCs/>
          <w:i/>
        </w:rPr>
        <w:t xml:space="preserve">Global Strategy Journal</w:t>
      </w:r>
      <w:r>
        <w:t xml:space="preserve">, Vol. 10 No. 2, pp.239-250,</w:t>
      </w:r>
      <w:r>
        <w:t xml:space="preserve"> </w:t>
      </w:r>
      <w:hyperlink r:id="rId120">
        <w:r>
          <w:rPr>
            <w:rStyle w:val="Hyperlink"/>
          </w:rPr>
          <w:t xml:space="preserve">https://doi.org/10.1002/gsj.1375</w:t>
        </w:r>
      </w:hyperlink>
    </w:p>
    <w:p>
      <w:pPr>
        <w:pStyle w:val="BodyText"/>
      </w:pPr>
      <w:r>
        <w:t xml:space="preserve">Vahlne, J.-E. and Johanson, J. (2017), "From internationalization to evolution: the Uppsala model at 40 years",</w:t>
      </w:r>
      <w:r>
        <w:t xml:space="preserve"> </w:t>
      </w:r>
      <w:r>
        <w:rPr>
          <w:iCs/>
          <w:i/>
        </w:rPr>
        <w:t xml:space="preserve">Journal of International Business Studies</w:t>
      </w:r>
      <w:r>
        <w:t xml:space="preserve">, Vol. 48 No. 9, pp.1087-1102,</w:t>
      </w:r>
      <w:r>
        <w:t xml:space="preserve"> </w:t>
      </w:r>
      <w:hyperlink r:id="rId121">
        <w:r>
          <w:rPr>
            <w:rStyle w:val="Hyperlink"/>
          </w:rPr>
          <w:t xml:space="preserve">https://doi.org/10.1057/s41267-017-0107-7</w:t>
        </w:r>
      </w:hyperlink>
    </w:p>
    <w:p>
      <w:pPr>
        <w:pStyle w:val="BodyText"/>
      </w:pPr>
      <w:r>
        <w:t xml:space="preserve">Verhoef, P.C., Broekhuizen, T., Bart, Y., Bhattacharya, A., Dong, J.Q., Fabian, N. and Haenlein, M. (2021), "Digital transformation: a multidisciplinary reflection and research agenda",</w:t>
      </w:r>
      <w:r>
        <w:t xml:space="preserve"> </w:t>
      </w:r>
      <w:r>
        <w:rPr>
          <w:iCs/>
          <w:i/>
        </w:rPr>
        <w:t xml:space="preserve">Journal of Business Research</w:t>
      </w:r>
      <w:r>
        <w:t xml:space="preserve">, Vol. 122, pp.889-901,</w:t>
      </w:r>
      <w:r>
        <w:t xml:space="preserve"> </w:t>
      </w:r>
      <w:hyperlink r:id="rId122">
        <w:r>
          <w:rPr>
            <w:rStyle w:val="Hyperlink"/>
          </w:rPr>
          <w:t xml:space="preserve">https://doi.org/10.1016/j.jbusres.2019.09.022</w:t>
        </w:r>
      </w:hyperlink>
    </w:p>
    <w:p>
      <w:pPr>
        <w:pStyle w:val="BodyText"/>
      </w:pPr>
      <w:r>
        <w:t xml:space="preserve">Vernon, R. (1979), "The product cycle hypothesis in a new international environment",</w:t>
      </w:r>
      <w:r>
        <w:t xml:space="preserve"> </w:t>
      </w:r>
      <w:r>
        <w:rPr>
          <w:iCs/>
          <w:i/>
        </w:rPr>
        <w:t xml:space="preserve">Oxford Bulletin of Economics and Statistics</w:t>
      </w:r>
      <w:r>
        <w:t xml:space="preserve">, Vol. 41 No. 4, pp.255-267,</w:t>
      </w:r>
      <w:r>
        <w:t xml:space="preserve"> </w:t>
      </w:r>
      <w:hyperlink r:id="rId123">
        <w:r>
          <w:rPr>
            <w:rStyle w:val="Hyperlink"/>
          </w:rPr>
          <w:t xml:space="preserve">https://doi.org/10.1111/j.1468-0084.1979.mp41004002.x</w:t>
        </w:r>
      </w:hyperlink>
    </w:p>
    <w:p>
      <w:pPr>
        <w:pStyle w:val="BodyText"/>
      </w:pPr>
      <w:r>
        <w:t xml:space="preserve">Vial, G. (2019), "Understanding digital transformation: a review and a research agenda",</w:t>
      </w:r>
      <w:r>
        <w:t xml:space="preserve"> </w:t>
      </w:r>
      <w:r>
        <w:rPr>
          <w:iCs/>
          <w:i/>
        </w:rPr>
        <w:t xml:space="preserve">Journal of Strategic Information Systems</w:t>
      </w:r>
      <w:r>
        <w:t xml:space="preserve">, Vol. 28 No. 2, pp.118-144,</w:t>
      </w:r>
      <w:r>
        <w:t xml:space="preserve"> </w:t>
      </w:r>
      <w:hyperlink r:id="rId124">
        <w:r>
          <w:rPr>
            <w:rStyle w:val="Hyperlink"/>
          </w:rPr>
          <w:t xml:space="preserve">https://doi.org/10.1016/j.jsis.2019.01.003</w:t>
        </w:r>
      </w:hyperlink>
    </w:p>
    <w:p>
      <w:pPr>
        <w:pStyle w:val="BodyText"/>
      </w:pPr>
      <w:r>
        <w:t xml:space="preserve">Wagner, J. (2007), "Exports and productivity: a survey of the evidence from firm-level data",</w:t>
      </w:r>
      <w:r>
        <w:t xml:space="preserve"> </w:t>
      </w:r>
      <w:r>
        <w:rPr>
          <w:iCs/>
          <w:i/>
        </w:rPr>
        <w:t xml:space="preserve">The World Economy</w:t>
      </w:r>
      <w:r>
        <w:t xml:space="preserve">, Vol. 30 No. 1, pp.60-82,</w:t>
      </w:r>
      <w:r>
        <w:t xml:space="preserve"> </w:t>
      </w:r>
      <w:hyperlink r:id="rId125">
        <w:r>
          <w:rPr>
            <w:rStyle w:val="Hyperlink"/>
          </w:rPr>
          <w:t xml:space="preserve">https://doi.org/10.1111/j.1467-9701.2007.00872.x</w:t>
        </w:r>
      </w:hyperlink>
    </w:p>
    <w:p>
      <w:pPr>
        <w:pStyle w:val="BodyText"/>
      </w:pPr>
      <w:r>
        <w:t xml:space="preserve">Williamson, O.E. (1985),</w:t>
      </w:r>
      <w:r>
        <w:t xml:space="preserve"> </w:t>
      </w:r>
      <w:r>
        <w:rPr>
          <w:iCs/>
          <w:i/>
        </w:rPr>
        <w:t xml:space="preserve">The Economic Institutions of Capitalism</w:t>
      </w:r>
      <w:r>
        <w:t xml:space="preserve">, Free Press, New York, NY.</w:t>
      </w:r>
    </w:p>
    <w:p>
      <w:pPr>
        <w:pStyle w:val="BodyText"/>
      </w:pPr>
      <w:r>
        <w:t xml:space="preserve">Wooldridge, J.M. (2010),</w:t>
      </w:r>
      <w:r>
        <w:t xml:space="preserve"> </w:t>
      </w:r>
      <w:r>
        <w:rPr>
          <w:iCs/>
          <w:i/>
        </w:rPr>
        <w:t xml:space="preserve">Econometric Analysis of Cross Section and Panel Data</w:t>
      </w:r>
      <w:r>
        <w:t xml:space="preserve">, 2nd ed., MIT Press, Cambridge, MA.</w:t>
      </w:r>
    </w:p>
    <w:p>
      <w:pPr>
        <w:pStyle w:val="BodyText"/>
      </w:pPr>
      <w:r>
        <w:t xml:space="preserve">World Bank (2010),</w:t>
      </w:r>
      <w:r>
        <w:t xml:space="preserve"> </w:t>
      </w:r>
      <w:r>
        <w:rPr>
          <w:iCs/>
          <w:i/>
        </w:rPr>
        <w:t xml:space="preserve">Vietnam Enterprise Survey 2009: Data File</w:t>
      </w:r>
      <w:r>
        <w:t xml:space="preserve">, Enterprise Surveys, World Bank Group, available at:</w:t>
      </w:r>
      <w:r>
        <w:t xml:space="preserve"> </w:t>
      </w:r>
      <w:hyperlink r:id="rId126">
        <w:r>
          <w:rPr>
            <w:rStyle w:val="Hyperlink"/>
          </w:rPr>
          <w:t xml:space="preserve">https://www.enterprisesurveys.org/en/enterprisesurveys</w:t>
        </w:r>
      </w:hyperlink>
      <w:r>
        <w:t xml:space="preserve"> </w:t>
      </w:r>
      <w:r>
        <w:t xml:space="preserve">(accessed 9 May 2026).</w:t>
      </w:r>
    </w:p>
    <w:p>
      <w:pPr>
        <w:pStyle w:val="BodyText"/>
      </w:pPr>
      <w:r>
        <w:t xml:space="preserve">World Bank (2016),</w:t>
      </w:r>
      <w:r>
        <w:t xml:space="preserve"> </w:t>
      </w:r>
      <w:r>
        <w:rPr>
          <w:iCs/>
          <w:i/>
        </w:rPr>
        <w:t xml:space="preserve">Vietnam Enterprise Survey 2015: Data File</w:t>
      </w:r>
      <w:r>
        <w:t xml:space="preserve">, Enterprise Surveys, World Bank Group, available at:</w:t>
      </w:r>
      <w:r>
        <w:t xml:space="preserve"> </w:t>
      </w:r>
      <w:hyperlink r:id="rId126">
        <w:r>
          <w:rPr>
            <w:rStyle w:val="Hyperlink"/>
          </w:rPr>
          <w:t xml:space="preserve">https://www.enterprisesurveys.org/en/enterprisesurveys</w:t>
        </w:r>
      </w:hyperlink>
      <w:r>
        <w:t xml:space="preserve"> </w:t>
      </w:r>
      <w:r>
        <w:t xml:space="preserve">(accessed 9 May 2026).</w:t>
      </w:r>
    </w:p>
    <w:p>
      <w:pPr>
        <w:pStyle w:val="BodyText"/>
      </w:pPr>
      <w:r>
        <w:t xml:space="preserve">World Bank (2024),</w:t>
      </w:r>
      <w:r>
        <w:t xml:space="preserve"> </w:t>
      </w:r>
      <w:r>
        <w:rPr>
          <w:iCs/>
          <w:i/>
        </w:rPr>
        <w:t xml:space="preserve">Vietnam Enterprise Survey 2023: Data File</w:t>
      </w:r>
      <w:r>
        <w:t xml:space="preserve">, Enterprise Surveys, World Bank Group, available at:</w:t>
      </w:r>
      <w:r>
        <w:t xml:space="preserve"> </w:t>
      </w:r>
      <w:hyperlink r:id="rId126">
        <w:r>
          <w:rPr>
            <w:rStyle w:val="Hyperlink"/>
          </w:rPr>
          <w:t xml:space="preserve">https://www.enterprisesurveys.org/en/enterprisesurveys</w:t>
        </w:r>
      </w:hyperlink>
      <w:r>
        <w:t xml:space="preserve"> </w:t>
      </w:r>
      <w:r>
        <w:t xml:space="preserve">(accessed 9 May 2026).</w:t>
      </w:r>
    </w:p>
    <w:p>
      <w:pPr>
        <w:pStyle w:val="BodyText"/>
      </w:pPr>
      <w:r>
        <w:t xml:space="preserve">World Bank (2025b),</w:t>
      </w:r>
      <w:r>
        <w:t xml:space="preserve"> </w:t>
      </w:r>
      <w:r>
        <w:rPr>
          <w:iCs/>
          <w:i/>
        </w:rPr>
        <w:t xml:space="preserve">Viet Nam Economic Update: Nurturing High-Tech Talents</w:t>
      </w:r>
      <w:r>
        <w:t xml:space="preserve"> </w:t>
      </w:r>
      <w:r>
        <w:t xml:space="preserve">(Taking Stock, September 2025), World Bank Group, Washington, DC.</w:t>
      </w:r>
    </w:p>
    <w:p>
      <w:pPr>
        <w:pStyle w:val="BodyText"/>
      </w:pPr>
      <w:r>
        <w:t xml:space="preserve">World Bank (2025c),</w:t>
      </w:r>
      <w:r>
        <w:t xml:space="preserve"> </w:t>
      </w:r>
      <w:r>
        <w:rPr>
          <w:iCs/>
          <w:i/>
        </w:rPr>
        <w:t xml:space="preserve">Viet Nam Economy Snapshot: Finance, Competitiveness and Innovation</w:t>
      </w:r>
      <w:r>
        <w:t xml:space="preserve"> </w:t>
      </w:r>
      <w:r>
        <w:t xml:space="preserve">(Prosperity Data360), World Bank Group, available at:</w:t>
      </w:r>
      <w:r>
        <w:t xml:space="preserve"> </w:t>
      </w:r>
      <w:hyperlink r:id="rId127">
        <w:r>
          <w:rPr>
            <w:rStyle w:val="Hyperlink"/>
          </w:rPr>
          <w:t xml:space="preserve">https://www.worldbank.org/ext/en/country/vietnam</w:t>
        </w:r>
      </w:hyperlink>
      <w:r>
        <w:t xml:space="preserve"> </w:t>
      </w:r>
      <w:r>
        <w:t xml:space="preserve">(accessed 9 May 2026).</w:t>
      </w:r>
    </w:p>
    <w:p>
      <w:pPr>
        <w:pStyle w:val="BodyText"/>
      </w:pPr>
      <w:r>
        <w:t xml:space="preserve">World Bank (2026),</w:t>
      </w:r>
      <w:r>
        <w:t xml:space="preserve"> </w:t>
      </w:r>
      <w:r>
        <w:rPr>
          <w:iCs/>
          <w:i/>
        </w:rPr>
        <w:t xml:space="preserve">World Development Indicators</w:t>
      </w:r>
      <w:r>
        <w:t xml:space="preserve"> </w:t>
      </w:r>
      <w:r>
        <w:t xml:space="preserve">[data set], available at:</w:t>
      </w:r>
      <w:r>
        <w:t xml:space="preserve"> </w:t>
      </w:r>
      <w:hyperlink r:id="rId128">
        <w:r>
          <w:rPr>
            <w:rStyle w:val="Hyperlink"/>
          </w:rPr>
          <w:t xml:space="preserve">https://databank.worldbank.org/source/world-development-indicators</w:t>
        </w:r>
      </w:hyperlink>
      <w:r>
        <w:t xml:space="preserve"> </w:t>
      </w:r>
      <w:r>
        <w:t xml:space="preserve">(accessed 9 May 2026).</w:t>
      </w:r>
    </w:p>
    <w:p>
      <w:pPr>
        <w:pStyle w:val="BodyText"/>
      </w:pPr>
      <w:r>
        <w:t xml:space="preserve">Wright, M., Filatotchev, I., Hoskisson, R.E. and Peng, M.W. (2005), "Strategy research in emerging economies: challenging the conventional wisdom",</w:t>
      </w:r>
      <w:r>
        <w:t xml:space="preserve"> </w:t>
      </w:r>
      <w:r>
        <w:rPr>
          <w:iCs/>
          <w:i/>
        </w:rPr>
        <w:t xml:space="preserve">Journal of Management Studies</w:t>
      </w:r>
      <w:r>
        <w:t xml:space="preserve">, Vol. 42 No. 1, pp.1-33,</w:t>
      </w:r>
      <w:r>
        <w:t xml:space="preserve"> </w:t>
      </w:r>
      <w:hyperlink r:id="rId129">
        <w:r>
          <w:rPr>
            <w:rStyle w:val="Hyperlink"/>
          </w:rPr>
          <w:t xml:space="preserve">https://doi.org/10.1111/j.1467-6486.2005.00487.x</w:t>
        </w:r>
      </w:hyperlink>
    </w:p>
    <w:p>
      <w:pPr>
        <w:pStyle w:val="BodyText"/>
      </w:pPr>
      <w:r>
        <w:t xml:space="preserve">Wu, F., Fan, D. and Chen, L. (2022), "Untangling the internationalization-performance relationship in emerging-economy multinationals: a meta-analytic review",</w:t>
      </w:r>
      <w:r>
        <w:t xml:space="preserve"> </w:t>
      </w:r>
      <w:r>
        <w:rPr>
          <w:iCs/>
          <w:i/>
        </w:rPr>
        <w:t xml:space="preserve">Management International Review</w:t>
      </w:r>
      <w:r>
        <w:t xml:space="preserve">, Vol. 62 No. 2, pp.203-243,</w:t>
      </w:r>
      <w:r>
        <w:t xml:space="preserve"> </w:t>
      </w:r>
      <w:hyperlink r:id="rId130">
        <w:r>
          <w:rPr>
            <w:rStyle w:val="Hyperlink"/>
          </w:rPr>
          <w:t xml:space="preserve">https://doi.org/10.1007/s11575-022-00466-1</w:t>
        </w:r>
      </w:hyperlink>
    </w:p>
    <w:p>
      <w:pPr>
        <w:pStyle w:val="BodyText"/>
      </w:pPr>
      <w:r>
        <w:t xml:space="preserve">Wu, J., Wang, C., Hong, J., Piperopoulos, P. and Zhuo, S. (2016), "Internationalization and innovation performance of emerging market enterprises: the role of host-country institutional development",</w:t>
      </w:r>
      <w:r>
        <w:t xml:space="preserve"> </w:t>
      </w:r>
      <w:r>
        <w:rPr>
          <w:iCs/>
          <w:i/>
        </w:rPr>
        <w:t xml:space="preserve">Journal of World Business</w:t>
      </w:r>
      <w:r>
        <w:t xml:space="preserve">, Vol. 51 No. 2, pp.251-263,</w:t>
      </w:r>
      <w:r>
        <w:t xml:space="preserve"> </w:t>
      </w:r>
      <w:hyperlink r:id="rId131">
        <w:r>
          <w:rPr>
            <w:rStyle w:val="Hyperlink"/>
          </w:rPr>
          <w:t xml:space="preserve">https://doi.org/10.1016/j.jwb.2015.09.001</w:t>
        </w:r>
      </w:hyperlink>
    </w:p>
    <w:bookmarkEnd w:id="132"/>
    <w:bookmarkEnd w:id="133"/>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hyperlink" Id="rId41"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2" Target="https://doi.org/10.1002/1097-0266(200010/11)21:10/11"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98"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4" Target="https://doi.org/10.1002/smj.2399" TargetMode="External" /><Relationship Type="http://schemas.openxmlformats.org/officeDocument/2006/relationships/hyperlink" Id="rId87" Target="https://doi.org/10.1002/smj.247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97" Target="https://doi.org/10.1007/s11575-007-0023-3" TargetMode="External" /><Relationship Type="http://schemas.openxmlformats.org/officeDocument/2006/relationships/hyperlink" Id="rId89"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0"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102" Target="https://doi.org/10.1057/jibs.2009.24" TargetMode="External" /><Relationship Type="http://schemas.openxmlformats.org/officeDocument/2006/relationships/hyperlink" Id="rId85" Target="https://doi.org/10.1057/jibs.2015.20" TargetMode="External" /><Relationship Type="http://schemas.openxmlformats.org/officeDocument/2006/relationships/hyperlink" Id="rId91" Target="https://doi.org/10.1057/palgrave.jibs.8400390" TargetMode="External" /><Relationship Type="http://schemas.openxmlformats.org/officeDocument/2006/relationships/hyperlink" Id="rId101" Target="https://doi.org/10.1057/palgrave.jibs.8490676" TargetMode="External" /><Relationship Type="http://schemas.openxmlformats.org/officeDocument/2006/relationships/hyperlink" Id="rId121" Target="https://doi.org/10.1057/s41267-017-0107-7" TargetMode="External" /><Relationship Type="http://schemas.openxmlformats.org/officeDocument/2006/relationships/hyperlink" Id="rId90" Target="https://doi.org/10.1057/s41267-017-0120-x" TargetMode="External" /><Relationship Type="http://schemas.openxmlformats.org/officeDocument/2006/relationships/hyperlink" Id="rId81"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5"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2" Target="https://doi.org/10.1177/014920639101700108" TargetMode="External" /><Relationship Type="http://schemas.openxmlformats.org/officeDocument/2006/relationships/hyperlink" Id="rId79" Target="https://doi.org/10.1177/1094428119836485" TargetMode="External" /><Relationship Type="http://schemas.openxmlformats.org/officeDocument/2006/relationships/hyperlink" Id="rId93" Target="https://doi.org/10.1257/jel.20171452" TargetMode="External" /><Relationship Type="http://schemas.openxmlformats.org/officeDocument/2006/relationships/hyperlink" Id="rId83" Target="https://doi.org/10.1257/jep.21.3.105" TargetMode="External" /><Relationship Type="http://schemas.openxmlformats.org/officeDocument/2006/relationships/hyperlink" Id="rId86" Target="https://doi.org/10.1257/mac.20180386" TargetMode="External" /><Relationship Type="http://schemas.openxmlformats.org/officeDocument/2006/relationships/hyperlink" Id="rId96"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88" Target="https://doi.org/10.2307/2393553" TargetMode="External" /><Relationship Type="http://schemas.openxmlformats.org/officeDocument/2006/relationships/hyperlink" Id="rId99" Target="https://doi.org/10.2307/256948" TargetMode="External" /><Relationship Type="http://schemas.openxmlformats.org/officeDocument/2006/relationships/hyperlink" Id="rId84"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126" Target="https://www.enterprisesurveys.org/en/enterprisesurveys" TargetMode="External" /><Relationship Type="http://schemas.openxmlformats.org/officeDocument/2006/relationships/hyperlink" Id="rId100" Target="https://www.itu.int/en/ITU-D/Statistics/Pages/publications/wtid.aspx" TargetMode="External" /><Relationship Type="http://schemas.openxmlformats.org/officeDocument/2006/relationships/hyperlink" Id="rId127" Target="https://www.worldbank.org/ext/en/country/vietnam" TargetMode="External" /></Relationships>
</file>

<file path=word/_rels/footnotes.xml.rels><?xml version="1.0" encoding="UTF-8"?><Relationships xmlns="http://schemas.openxmlformats.org/package/2006/relationships"><Relationship Type="http://schemas.openxmlformats.org/officeDocument/2006/relationships/hyperlink" Id="rId41" Target="http://www.enterprisesurveys.org;" TargetMode="External" /><Relationship Type="http://schemas.openxmlformats.org/officeDocument/2006/relationships/hyperlink" Id="rId128" Target="https://databank.worldbank.org/source/world-development-indicators" TargetMode="External" /><Relationship Type="http://schemas.openxmlformats.org/officeDocument/2006/relationships/hyperlink" Id="rId92" Target="https://doi.org/10.1002/1097-0266(200010/11)21:10/11" TargetMode="External" /><Relationship Type="http://schemas.openxmlformats.org/officeDocument/2006/relationships/hyperlink" Id="rId117" Target="https://doi.org/10.1002/gsj.1336" TargetMode="External" /><Relationship Type="http://schemas.openxmlformats.org/officeDocument/2006/relationships/hyperlink" Id="rId120" Target="https://doi.org/10.1002/gsj.1375" TargetMode="External" /><Relationship Type="http://schemas.openxmlformats.org/officeDocument/2006/relationships/hyperlink" Id="rId98" Target="https://doi.org/10.1002/gsj.8" TargetMode="External" /><Relationship Type="http://schemas.openxmlformats.org/officeDocument/2006/relationships/hyperlink" Id="rId103" Target="https://doi.org/10.1002/smj.2379" TargetMode="External" /><Relationship Type="http://schemas.openxmlformats.org/officeDocument/2006/relationships/hyperlink" Id="rId94" Target="https://doi.org/10.1002/smj.2399" TargetMode="External" /><Relationship Type="http://schemas.openxmlformats.org/officeDocument/2006/relationships/hyperlink" Id="rId87" Target="https://doi.org/10.1002/smj.2475" TargetMode="External" /><Relationship Type="http://schemas.openxmlformats.org/officeDocument/2006/relationships/hyperlink" Id="rId113" Target="https://doi.org/10.1002/smj.3087" TargetMode="External" /><Relationship Type="http://schemas.openxmlformats.org/officeDocument/2006/relationships/hyperlink" Id="rId119" Target="https://doi.org/10.1002/smj.640" TargetMode="External" /><Relationship Type="http://schemas.openxmlformats.org/officeDocument/2006/relationships/hyperlink" Id="rId97" Target="https://doi.org/10.1007/s11575-007-0023-3" TargetMode="External" /><Relationship Type="http://schemas.openxmlformats.org/officeDocument/2006/relationships/hyperlink" Id="rId89" Target="https://doi.org/10.1007/s11575-007-0024-2" TargetMode="External" /><Relationship Type="http://schemas.openxmlformats.org/officeDocument/2006/relationships/hyperlink" Id="rId130" Target="https://doi.org/10.1007/s11575-022-00466-1" TargetMode="External" /><Relationship Type="http://schemas.openxmlformats.org/officeDocument/2006/relationships/hyperlink" Id="rId105" Target="https://doi.org/10.1016/0305-750X(92)90097-F" TargetMode="External" /><Relationship Type="http://schemas.openxmlformats.org/officeDocument/2006/relationships/hyperlink" Id="rId122" Target="https://doi.org/10.1016/j.jbusres.2019.09.022" TargetMode="External" /><Relationship Type="http://schemas.openxmlformats.org/officeDocument/2006/relationships/hyperlink" Id="rId124" Target="https://doi.org/10.1016/j.jsis.2019.01.003" TargetMode="External" /><Relationship Type="http://schemas.openxmlformats.org/officeDocument/2006/relationships/hyperlink" Id="rId104" Target="https://doi.org/10.1016/j.jwb.2015.08.011" TargetMode="External" /><Relationship Type="http://schemas.openxmlformats.org/officeDocument/2006/relationships/hyperlink" Id="rId131" Target="https://doi.org/10.1016/j.jwb.2015.09.001" TargetMode="External" /><Relationship Type="http://schemas.openxmlformats.org/officeDocument/2006/relationships/hyperlink" Id="rId80" Target="https://doi.org/10.1016/j.leaqua.2010.10.010" TargetMode="External" /><Relationship Type="http://schemas.openxmlformats.org/officeDocument/2006/relationships/hyperlink" Id="rId109" Target="https://doi.org/10.1016/j.respol.2019.03.018" TargetMode="External" /><Relationship Type="http://schemas.openxmlformats.org/officeDocument/2006/relationships/hyperlink" Id="rId102" Target="https://doi.org/10.1057/jibs.2009.24" TargetMode="External" /><Relationship Type="http://schemas.openxmlformats.org/officeDocument/2006/relationships/hyperlink" Id="rId85" Target="https://doi.org/10.1057/jibs.2015.20" TargetMode="External" /><Relationship Type="http://schemas.openxmlformats.org/officeDocument/2006/relationships/hyperlink" Id="rId91" Target="https://doi.org/10.1057/palgrave.jibs.8400390" TargetMode="External" /><Relationship Type="http://schemas.openxmlformats.org/officeDocument/2006/relationships/hyperlink" Id="rId101" Target="https://doi.org/10.1057/palgrave.jibs.8490676" TargetMode="External" /><Relationship Type="http://schemas.openxmlformats.org/officeDocument/2006/relationships/hyperlink" Id="rId121" Target="https://doi.org/10.1057/s41267-017-0107-7" TargetMode="External" /><Relationship Type="http://schemas.openxmlformats.org/officeDocument/2006/relationships/hyperlink" Id="rId90" Target="https://doi.org/10.1057/s41267-017-0120-x" TargetMode="External" /><Relationship Type="http://schemas.openxmlformats.org/officeDocument/2006/relationships/hyperlink" Id="rId81" Target="https://doi.org/10.1057/s41267-019-00243-7" TargetMode="External" /><Relationship Type="http://schemas.openxmlformats.org/officeDocument/2006/relationships/hyperlink" Id="rId112" Target="https://doi.org/10.1057/s41267-019-00269-x" TargetMode="External" /><Relationship Type="http://schemas.openxmlformats.org/officeDocument/2006/relationships/hyperlink" Id="rId110" Target="https://doi.org/10.1080/07350015.2016.1227711" TargetMode="External" /><Relationship Type="http://schemas.openxmlformats.org/officeDocument/2006/relationships/hyperlink" Id="rId118" Target="https://doi.org/10.1108/MBR-05-2017-0028" TargetMode="External" /><Relationship Type="http://schemas.openxmlformats.org/officeDocument/2006/relationships/hyperlink" Id="rId129" Target="https://doi.org/10.1111/j.1467-6486.2005.00487.x" TargetMode="External" /><Relationship Type="http://schemas.openxmlformats.org/officeDocument/2006/relationships/hyperlink" Id="rId125" Target="https://doi.org/10.1111/j.1467-9701.2007.00872.x" TargetMode="External" /><Relationship Type="http://schemas.openxmlformats.org/officeDocument/2006/relationships/hyperlink" Id="rId123" Target="https://doi.org/10.1111/j.1468-0084.1979.mp41004002.x" TargetMode="External" /><Relationship Type="http://schemas.openxmlformats.org/officeDocument/2006/relationships/hyperlink" Id="rId106" Target="https://doi.org/10.1111/j.1468-0084.2009.00569.x" TargetMode="External" /><Relationship Type="http://schemas.openxmlformats.org/officeDocument/2006/relationships/hyperlink" Id="rId111" Target="https://doi.org/10.1111/j.1745-9125.1998.tb01268.x" TargetMode="External" /><Relationship Type="http://schemas.openxmlformats.org/officeDocument/2006/relationships/hyperlink" Id="rId95" Target="https://doi.org/10.1111/joms.12639" TargetMode="External" /><Relationship Type="http://schemas.openxmlformats.org/officeDocument/2006/relationships/hyperlink" Id="rId108" Target="https://doi.org/10.1177/0149206315624963" TargetMode="External" /><Relationship Type="http://schemas.openxmlformats.org/officeDocument/2006/relationships/hyperlink" Id="rId115" Target="https://doi.org/10.1177/0149206319846272" TargetMode="External" /><Relationship Type="http://schemas.openxmlformats.org/officeDocument/2006/relationships/hyperlink" Id="rId82" Target="https://doi.org/10.1177/014920639101700108" TargetMode="External" /><Relationship Type="http://schemas.openxmlformats.org/officeDocument/2006/relationships/hyperlink" Id="rId79" Target="https://doi.org/10.1177/1094428119836485" TargetMode="External" /><Relationship Type="http://schemas.openxmlformats.org/officeDocument/2006/relationships/hyperlink" Id="rId93" Target="https://doi.org/10.1257/jel.20171452" TargetMode="External" /><Relationship Type="http://schemas.openxmlformats.org/officeDocument/2006/relationships/hyperlink" Id="rId83" Target="https://doi.org/10.1257/jep.21.3.105" TargetMode="External" /><Relationship Type="http://schemas.openxmlformats.org/officeDocument/2006/relationships/hyperlink" Id="rId86" Target="https://doi.org/10.1257/mac.20180386" TargetMode="External" /><Relationship Type="http://schemas.openxmlformats.org/officeDocument/2006/relationships/hyperlink" Id="rId96" Target="https://doi.org/10.2307/1912352" TargetMode="External" /><Relationship Type="http://schemas.openxmlformats.org/officeDocument/2006/relationships/hyperlink" Id="rId107" Target="https://doi.org/10.2307/20159604" TargetMode="External" /><Relationship Type="http://schemas.openxmlformats.org/officeDocument/2006/relationships/hyperlink" Id="rId116" Target="https://doi.org/10.2307/2171753" TargetMode="External" /><Relationship Type="http://schemas.openxmlformats.org/officeDocument/2006/relationships/hyperlink" Id="rId88" Target="https://doi.org/10.2307/2393553" TargetMode="External" /><Relationship Type="http://schemas.openxmlformats.org/officeDocument/2006/relationships/hyperlink" Id="rId99" Target="https://doi.org/10.2307/256948" TargetMode="External" /><Relationship Type="http://schemas.openxmlformats.org/officeDocument/2006/relationships/hyperlink" Id="rId84" Target="https://doi.org/10.25300/misq/2013/37:2.3" TargetMode="External" /><Relationship Type="http://schemas.openxmlformats.org/officeDocument/2006/relationships/hyperlink" Id="rId114" Target="https://english.luatvietnam.vn/decision-no-749-qd-ttg-on-approving-the-national-digital-transformation-program-until-2025-with-a-vision-184241-doc1.html" TargetMode="External" /><Relationship Type="http://schemas.openxmlformats.org/officeDocument/2006/relationships/hyperlink" Id="rId126" Target="https://www.enterprisesurveys.org/en/enterprisesurveys" TargetMode="External" /><Relationship Type="http://schemas.openxmlformats.org/officeDocument/2006/relationships/hyperlink" Id="rId100" Target="https://www.itu.int/en/ITU-D/Statistics/Pages/publications/wtid.aspx" TargetMode="External" /><Relationship Type="http://schemas.openxmlformats.org/officeDocument/2006/relationships/hyperlink" Id="rId127" Target="https://www.worldbank.org/ext/en/country/vietna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2026-06-15T04:43:38Z</dcterms:created>
  <dcterms:modified xsi:type="dcterms:W3CDTF">2026-06-15T04:43:38Z</dcterms:modified>
</cp:coreProperties>
</file>

<file path=docProps/custom.xml><?xml version="1.0" encoding="utf-8"?>
<Properties xmlns="http://schemas.openxmlformats.org/officeDocument/2006/custom-properties" xmlns:vt="http://schemas.openxmlformats.org/officeDocument/2006/docPropsVTypes"/>
</file>