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7 June 2026</w:t>
      </w:r>
    </w:p>
    <w:p>
      <w:pPr>
        <w:pStyle w:val="BodyText"/>
      </w:pPr>
      <w:r>
        <w:t xml:space="preserve">The Editor-in-Chief</w:t>
      </w:r>
      <w:r>
        <w:t xml:space="preserve"> </w:t>
      </w:r>
      <w:r>
        <w:rPr>
          <w:iCs/>
          <w:i/>
        </w:rPr>
        <w:t xml:space="preserve">Journal of Economics and Development</w:t>
      </w:r>
      <w:r>
        <w:t xml:space="preserve"> </w:t>
      </w:r>
      <w:r>
        <w:t xml:space="preserve">National Economics University / Emerald Publishing</w:t>
      </w:r>
    </w:p>
    <w:p>
      <w:r>
        <w:pict>
          <v:rect style="width:0;height:1.5pt" o:hralign="center" o:hrstd="t" o:hr="t"/>
        </w:pict>
      </w:r>
    </w:p>
    <w:p>
      <w:pPr>
        <w:pStyle w:val="FirstParagraph"/>
      </w:pPr>
      <w:r>
        <w:rPr>
          <w:bCs/>
          <w:b/>
        </w:rPr>
        <w:t xml:space="preserve">Submission of Manuscript: "Revisiting the Internationalisation–Performance Relationship in an Emerging Market: The Roles of Technological Capability and Foundational Digital Adoption"</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Journal of Economics and Development</w:t>
      </w:r>
      <w:r>
        <w:t xml:space="preserve"> </w:t>
      </w:r>
      <w:r>
        <w:t xml:space="preserve">(JED). The manuscript presents an empirical study of the internationalisation–performance (I–P) relationship using three waves of World Bank Enterprise Survey (WBES) data for Vietnam (2009, 2015, 2023; N = 2,958).</w:t>
      </w:r>
    </w:p>
    <w:p>
      <w:pPr>
        <w:pStyle w:val="BodyText"/>
      </w:pPr>
      <w:r>
        <w:rPr>
          <w:bCs/>
          <w:b/>
        </w:rPr>
        <w:t xml:space="preserve">Fit with JED</w:t>
      </w:r>
    </w:p>
    <w:p>
      <w:pPr>
        <w:pStyle w:val="BodyText"/>
      </w:pPr>
      <w:r>
        <w:t xml:space="preserve">JED is an exceptionally appropriate venue for this work. The journal promotes scholarship that improves understanding of economics and development with a particular focus on developing and transition economies, and it welcomes applied, empirical, and comparative studies at the micro level. Our study sits squarely within this scope: it provides firm-level (micro) evidence on how a lower-middle-income transition economy converts export participation into productivity, and on the institutional and capability conditions under which that conversion succeeds or fails. Vietnam, a transition economy whose institutional trajectory spans WTO accession (2007), CPTPP ratification (2019), and the post-COVID digital-economy push (2023), is precisely the kind of development context JED prioritises, and the findings carry direct, transferable implications for industrial and digital-economy policy across comparable developing economies.</w:t>
      </w:r>
    </w:p>
    <w:p>
      <w:pPr>
        <w:pStyle w:val="BodyText"/>
      </w:pPr>
      <w:r>
        <w:rPr>
          <w:bCs/>
          <w:b/>
        </w:rPr>
        <w:t xml:space="preserve">Key Contributions</w:t>
      </w:r>
    </w:p>
    <w:p>
      <w:pPr>
        <w:pStyle w:val="BodyText"/>
      </w:pPr>
      <w:r>
        <w:t xml:space="preserve">First, the study provides multi-wave within-country evidence that the inverted-U relationship between export intensity and labour productivity is structurally durable: turning points cluster at 39–46% of direct-export intensity across all three waves (Lind–Mehlum test p ≤ .013 per wave; p &lt; .001 pooled), a narrow band sustained through fourteen years of major institutional change. We show this durability is most informative as a boundary-condition finding: single-country institutional contexts preserve functional-form regularity that cross-national pooling tends to obscure.</w:t>
      </w:r>
    </w:p>
    <w:p>
      <w:pPr>
        <w:pStyle w:val="BodyText"/>
      </w:pPr>
      <w:r>
        <w:t xml:space="preserve">Second, the study is the first systematic separation of technological capability (TCI: quality certification, foreign-licensed technology) from foundational digital adoption (DAI: website presence, Tier-1 only) as non-overlapping constructs in a WBES-based I–P study. Technological capability is robustly positive across all waves; the website-based digital indicator follows a trajectory consistent with Tier-1 proxy obsolescence (positive in 2009, null in 2015, negatively interactive with export intensity by 2023). Instrumental-variable estimation attributes the pooled digital-adoption association to selection rather than to productive capacity.</w:t>
      </w:r>
    </w:p>
    <w:p>
      <w:pPr>
        <w:pStyle w:val="BodyText"/>
      </w:pPr>
      <w:r>
        <w:t xml:space="preserve">Third, Paternoster cross-wave z-tests confirm that the 2009–2015 decline in the digital-adoption productivity association (z = 3.353, p &lt; .001) and its 2015–2023 partial recovery (z = −2.051, p = .040) are statistically distinguishable shifts, a pattern with direct implications for the design of digital-economy programmes in transition economies.</w:t>
      </w:r>
    </w:p>
    <w:p>
      <w:pPr>
        <w:pStyle w:val="BodyText"/>
      </w:pPr>
      <w:r>
        <w:rPr>
          <w:bCs/>
          <w:b/>
        </w:rPr>
        <w:t xml:space="preserve">Development and policy relevance.</w:t>
      </w:r>
      <w:r>
        <w:t xml:space="preserve"> </w:t>
      </w:r>
      <w:r>
        <w:t xml:space="preserve">Consistent with JED's mission, the paper translates these results into concrete guidance: the institutionally embedded turning-point band (39–46% FSTS) reframes the policy question from "does internationalisation help?" to "under what institutional and capability conditions does the productive threshold shift?", and identifies technological-capability upgrading, rather than surface digital presence alone, as the lever that moves it.</w:t>
      </w:r>
    </w:p>
    <w:p>
      <w:pPr>
        <w:pStyle w:val="BodyText"/>
      </w:pPr>
      <w:r>
        <w:rPr>
          <w:bCs/>
          <w:b/>
        </w:rPr>
        <w:t xml:space="preserve">Originality and Declaration</w:t>
      </w:r>
    </w:p>
    <w:p>
      <w:pPr>
        <w:pStyle w:val="BodyText"/>
      </w:pPr>
      <w:r>
        <w:t xml:space="preserve">This manuscript is original, has not been published previously, and is not under consideration elsewhere. All authors approve the submission. The authors declare no conflict of interest. No specific grant from any funding agency was received. Use of the WBES data is subject to the World Bank's standard data-access protocol; replication materials are available to the editorial team upon reasonable request, consistent with that protocol.</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6,800 words</w:t>
      </w:r>
    </w:p>
    <w:p>
      <w:pPr>
        <w:numPr>
          <w:ilvl w:val="0"/>
          <w:numId w:val="1001"/>
        </w:numPr>
        <w:pStyle w:val="Compact"/>
      </w:pPr>
      <w:r>
        <w:t xml:space="preserve">Tables: 5; Figures: 6</w:t>
      </w:r>
    </w:p>
    <w:p>
      <w:pPr>
        <w:numPr>
          <w:ilvl w:val="0"/>
          <w:numId w:val="1001"/>
        </w:numPr>
        <w:pStyle w:val="Compact"/>
      </w:pPr>
      <w:r>
        <w:t xml:space="preserve">Keywords: internationalisation–performance; transition economies; technological capability; digital adoption; threshold durability; Vietnam</w:t>
      </w:r>
    </w:p>
    <w:p>
      <w:pPr>
        <w:numPr>
          <w:ilvl w:val="0"/>
          <w:numId w:val="1001"/>
        </w:numPr>
        <w:pStyle w:val="Compact"/>
      </w:pPr>
      <w:r>
        <w:t xml:space="preserve">JEL classification: F23, O33, D22, L25, O53</w:t>
      </w:r>
    </w:p>
    <w:p>
      <w:pPr>
        <w:pStyle w:val="FirstParagraph"/>
      </w:pPr>
      <w:r>
        <w:t xml:space="preserve">We hope the manuscript will be of interest to JED's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 College of Economics, Can Tho University (CTU), Vietnam</w:t>
      </w:r>
      <w:r>
        <w:t xml:space="preserve"> </w:t>
      </w:r>
      <w:r>
        <w:t xml:space="preserve">Email:</w:t>
      </w:r>
      <w:r>
        <w:t xml:space="preserve"> </w:t>
      </w:r>
      <w:hyperlink r:id="rId20">
        <w:r>
          <w:rPr>
            <w:rStyle w:val="Hyperlink"/>
          </w:rPr>
          <w:t xml:space="preserve">huongp1323001@gstudent.ctu.edu.vn</w:t>
        </w:r>
      </w:hyperlink>
      <w:r>
        <w:t xml:space="preserve"> </w:t>
      </w:r>
      <w:r>
        <w:t xml:space="preserve">| ORCID: 0000-0002-7711-2487</w:t>
      </w:r>
    </w:p>
    <w:p>
      <w:pPr>
        <w:pStyle w:val="BodyText"/>
      </w:pPr>
      <w:r>
        <w:rPr>
          <w:bCs/>
          <w:b/>
        </w:rPr>
        <w:t xml:space="preserve">PGS.TS. Phan Anh Tú (Phan Anh Tu)</w:t>
      </w:r>
      <w:r>
        <w:t xml:space="preserve"> </w:t>
      </w:r>
      <w:r>
        <w:rPr>
          <w:iCs/>
          <w:i/>
        </w:rPr>
        <w:t xml:space="preserve">(Corresponding author)</w:t>
      </w:r>
      <w:r>
        <w:t xml:space="preserve"> </w:t>
      </w:r>
      <w:r>
        <w:t xml:space="preserve">Associate Professor, College of Economics, Can Tho University (CTU), Vietnam</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2026-06-08T05:30:11Z</dcterms:created>
  <dcterms:modified xsi:type="dcterms:W3CDTF">2026-06-08T05:30:11Z</dcterms:modified>
</cp:coreProperties>
</file>

<file path=docProps/custom.xml><?xml version="1.0" encoding="utf-8"?>
<Properties xmlns="http://schemas.openxmlformats.org/officeDocument/2006/custom-properties" xmlns:vt="http://schemas.openxmlformats.org/officeDocument/2006/docPropsVTypes"/>
</file>