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Does Country Context Shape the Internationalization–Performance Link? A Three-Level Meta-Analytic Investigation of Digital Adoption, Institutional Regimes, and the Digital Paradox Lifecycle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World Business (JWB), Elsevier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Conflict of interest:</w:t>
      </w:r>
      <w:r>
        <w:t xml:space="preserve"> </w:t>
      </w:r>
      <w:r>
        <w:t xml:space="preserve">The authors declare no competing interests.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availability:</w:t>
      </w:r>
      <w:r>
        <w:t xml:space="preserve"> </w:t>
      </w:r>
      <w:r>
        <w:t xml:space="preserve">The coded study database and analysis scripts are available from the corresponding author on reasonable request; PRISMA materials are provided as supplementary files.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2026-06-08T01:08:05Z</dcterms:created>
  <dcterms:modified xsi:type="dcterms:W3CDTF">2026-06-08T01:08:05Z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