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lý thuyết dựa trên nguồn lực (Barney, 1991; Wernerfelt, 1984), lý thuyết thể chế (North, 1990; Khanna &amp; Palepu, 2010; Peng, 2003) và lý thuyết thượng tầng quản trị (Hambrick &amp; Mason, 1984; Hambrick, 2007), kết hợp với Khung chấp nhận số nền tảng (Banalieva &amp; Dhanaraj, 2019; Verhoef et al., 2021; Stallkamp &amp; Schotter, 2021) làm nền tảng lý thuyết. Lược khảo năm dạng hàm quan hệ quốc tế hóa, hiệu quả (I–P) gồm tuyến tính, chữ U ngược, S-curve, M-curve, và forced penalty, cùng năm phân tích tổng hợp lớn giai đoạn 1980–2024, cho thấy khoảng trống thực nghiệm trong việc kiểm định đồng thời phi tuyến và điều tiết đa tầng ở châu Á. Hệ giả thuyết H1–H6 được phát triển: H1 phi tuyến dạng chữ U ngược hoặc S-curve; H2 chỉ số năng lực công nghệ (TCI) điều tiết tích cực; H3a–H3b chỉ số chấp nhận số (DAI) điều tiết phụ thuộc chế độ thể chế: có điều kiện ở Emerging/Frontier (H3a, dương trong OLS nhưng phụ thuộc bối cảnh và có thể null trong kiểm định nhân quả) và có điều kiện/null ở Advanced (H3b), phân biệt với TCI; H4a–H4c đặc điểm nhà quản trị điều tiết (kinh nghiệm, học vấn, giới tính, tách biệt dấu kỳ vọng); H5 thể chế nội địa điều tiết theo phổ thể chế ICRV sáu nhóm; H6 tính không đồng nhất theo thời gian. Tám mô hình thực nghiệm M0–M7 được đặc tả, từ cơ sở tuyến tính đến mô hình điều tiết ba chiều cấp luận án. Chiến lược nhận dạng đa tầng và kế hoạch kiểm định độ vững toàn diện được thiết kế cho mẫu gộp 88.869 doanh nghiệp ở 50 nền kinh tế (gồm Nhật Bản) châu Á và Thái Bình Dương, bao gồm 103 cặp quốc gia-năm qua 14 mốc khảo sát WBES giai đoạn 2009–2025 (hồi quy chính M2 N=81.022, M5 N=79.080). Bốn đóng góp chính: (i) khung tích hợp 4 tầng kết hợp Khung chấp nhận số nền tảng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P3 Việt Nam (JABS, đang phản biện), P4 Singapore (MIR, đang phản biện), P5 Trung Quốc (IJOEM, đang phản biện),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lý thuyết thượng tầng quản trị;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(P3 IV: β = 0.018, p = .942), conditional or null for Advanced (H3b), and distinguishable from TCI; H4a–H4c top manager characteristics moderating (experience, education, and gender with distinct directional expectations); H5 home-country institutions moderating along the ICRV six-regime phổ thể chế; H6 temporal heterogeneity. Eight empirical models M0–M7 are specified, from linear baseline to three-way moderation. A multi-level identification strategy and comprehensive robustness plan are designed for a pool of 88,869 firms across 50 Asian and Pacific economies (including Japan; 96,415 ICRV-classified across 52 source economies), spanning 103 country-year pairs across 14 WBES survey waves (2009–2025; main regressions M2 N=81,022, M5 N=79,080). The four main contributions are: (i) an integrated 4-tier framework combined with the Foundational Digital Adoption Framework with no equivalent for Asia; (ii) the separation of TCI and DAI within the Country–Digital–Capability Moderation (CDCM); (iii) the M7 three-way moderation model; (iv) sub-grouping of the Advanced regime into innovation-driven (ICRV Group I) and resource-driven (ICRV Group II) types. Three companion empirical papers, P3 Vietnam (JABS, under review), P4 Singapore (MIR, under review), P5 China (IJOEM, under review),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quốc tế hóa và hiệu quả,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mẫu gộp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50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3"/>
    <w:bookmarkStart w:id="24"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4"/>
    <w:bookmarkStart w:id="25"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Country–Digital–Capability Moderation,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 và 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5"/>
    <w:bookmarkStart w:id="89" w:name="phần-2-nội-dung-chuyên-đề"/>
    <w:p>
      <w:pPr>
        <w:pStyle w:val="Heading2"/>
      </w:pPr>
      <w:r>
        <w:t xml:space="preserve">Phần 2: NỘI DUNG CHUYÊN ĐỀ</w:t>
      </w:r>
    </w:p>
    <w:bookmarkStart w:id="31" w:name="đặt-vấn-đề"/>
    <w:p>
      <w:pPr>
        <w:pStyle w:val="Heading3"/>
      </w:pPr>
      <w:r>
        <w:t xml:space="preserve">2.1 Đặt vấn đề</w:t>
      </w:r>
    </w:p>
    <w:bookmarkStart w:id="26" w:name="giới-thiệu"/>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Nền tảng lý thuyết của dòng nghiên cứu này bắt nguồn từ các công trình kinh điển về doanh nghiệp đa quốc gia và đầu tư trực tiếp nước ngoài: lý thuyết vòng đời sản phẩm (Vernon, 1966), lý thuyết lợi thế độc quyền của doanh nghiệp (Hymer, 1976; Caves, 1971), và lý thuyết nội bộ hóa chi phí giao dịch (Buckley &amp; Casson, 1976), về sau được tổng hợp trong khung chiết trung OLI (Dunning, 1988). Trên nền đó, tài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Ruigrok &amp; Wagner,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 Thực vậy, các nghiên cứu gần đây sử dụng chiến lược nhận diện chặt chẽ hơn cho thấy dạng chữ U ngược có thể suy yếu hoặc biến mất trong các mẫu gộp xuyên quốc gia (Pisani, Garcia-Bernardo &amp; Heemskerk, 2020), càng củng cố lập luận rằng chính dị biệt bối cảnh chi phối kết quả quốc tế hóa và hiệu quả.</w:t>
      </w:r>
    </w:p>
    <w:p>
      <w:pPr>
        <w:pStyle w:val="BodyText"/>
      </w:pPr>
      <w:r>
        <w:t xml:space="preserve">Châu Á trong giai đoạn 2009–2025 là phòng thí nghiệm tự nhiên độc đáo cho nghiên cứu quan hệ quốc tế hóa và hiệu quả.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Oman; nhóm trung bình cao (ICRV Nhóm III) gồm Trung Quốc, Malaysia, Thái Lan, Kazakhstan, Armenia, Georgia; nhóm chuyển đổi thu nhập trung bình–thấp (ICRV Nhóm IV,</w:t>
      </w:r>
      <w:r>
        <w:t xml:space="preserve"> </w:t>
      </w:r>
      <w:r>
        <w:rPr>
          <w:rStyle w:val="VerbatimChar"/>
        </w:rPr>
        <w:t xml:space="preserve">Lower_mid_transition</w:t>
      </w:r>
      <w:r>
        <w:t xml:space="preserve">) gồm Việt Nam, Ấn Độ, Indonesia, Philippines, Mông Cổ, Bangladesh, Pakistan; nhóm đang nổi (ICRV Nhóm V,</w:t>
      </w:r>
      <w:r>
        <w:t xml:space="preserve"> </w:t>
      </w:r>
      <w:r>
        <w:rPr>
          <w:rStyle w:val="VerbatimChar"/>
        </w:rPr>
        <w:t xml:space="preserve">Emerging</w:t>
      </w:r>
      <w:r>
        <w:t xml:space="preserve">) gồm 17 nền kinh tế (gồm Sri Lanka, Jordan); và nhóm quốc đảo nhỏ (ICRV Nhóm VI,</w:t>
      </w:r>
      <w:r>
        <w:t xml:space="preserve"> </w:t>
      </w:r>
      <w:r>
        <w:rPr>
          <w:rStyle w:val="VerbatimChar"/>
        </w:rPr>
        <w:t xml:space="preserve">SIDS_small</w:t>
      </w:r>
      <w:r>
        <w:t xml:space="preserve">) gồm 8 nền (7 Pacific + Timor-Leste). Tổng cộng 50 nền kinh tế (gồm Nhật Bản) châu Á–Thái Bình Dương tạo thành 103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(Bharadwaj et al., 2013; Banalieva &amp; Dhanaraj, 2019; Verhoef et al., 2021; Yang, Zhao &amp; Wei, 2025).</w:t>
      </w:r>
    </w:p>
    <w:p>
      <w:pPr>
        <w:pStyle w:val="BodyText"/>
      </w:pPr>
      <w:r>
        <w:t xml:space="preserve">Khung lý thuyết hiện hành về quan hệ quốc tế hóa và hiệu quả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88.869 doanh nghiệp WBES xuyên 50 nền kinh tế (gồm Nhật Bản), làm rõ ba khuôn mẫu then chốt: phân tán năng suất tăng đơn điệu theo chế độ từ Nhóm I đến Nhóm VI; tính không đồng nhất nội bộ trong nhóm Advanced; và khuôn mẫu adaptation đặc trưng của các quốc đảo nhỏ Thái Bình Dương. Đồng thời, phân tích đó phát hiện CDCM,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khuôn mẫu đó.</w:t>
      </w:r>
    </w:p>
    <w:p>
      <w:pPr>
        <w:pStyle w:val="BodyText"/>
      </w:pPr>
      <w:r>
        <w:t xml:space="preserve">Bốn bản thảo thực nghiệm đồng hành cung cấp bằng chứng quốc gia cụ thể kiểm định khả năng của khung đề xuất. P2 Trung Quốc SMEs (Đỗ &amp; Phan, 2026c, JFAR đã công bố) phân tích 4.290 quan sát doanh nghiệp và năm thuộc các doanh nghiệp nhỏ và vừa Trung Quốc và tìm thấy dạng chữ U ngược bậc hai với điểm uốn tối ưu 47,8% FSTS, cung cấp tiền thân thực nghiệm cho H1 và cơ sở để so sánh với P5. P3 Việt Nam (Đỗ &amp; Phan, 2026a, JABS đang phản biện)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đang phản biện) phân tích 623 doanh nghiệp WBES 2023, cho thấy điểm uốn hàm ý ở FSTS khoảng 88,6% và DAI hoạt động như nguồn lực mở rộng tình huống với hệ số DAI×FSTS² = +3,119 (p = 0,005). P5 Trung Quốc (Đỗ &amp; Phan, 2026b, IJOEM đang phản biện) phân tích 4.544 doanh nghiệp WBES hai sóng (2012, 2024) xác nhận chữ U ngược bền vững cấu trúc với điểm uốn 49,4% (2012) và 47,2% (2024); kết quả này nhất quán với bằng chứng trước đó về quan hệ quốc tế hóa và hiệu quả và hiệu ứng vùng miền ở doanh nghiệp Trung Quốc (Chen &amp; Tan, 2012; Xiao et al., 2013).</w:t>
      </w:r>
    </w:p>
    <w:bookmarkEnd w:id="26"/>
    <w:bookmarkStart w:id="27"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88.869 doanh nghiệp xuyên 50 nền kinh tế (gồm Nhật Bản)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quốc tế hóa và hiệu quả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7"/>
    <w:bookmarkStart w:id="28"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quốc tế hóa và hiệu quả? Có phân biệt được giữa TCI và DAI theo CDCM hay không?</w:t>
      </w:r>
    </w:p>
    <w:p>
      <w:pPr>
        <w:pStyle w:val="BodyText"/>
      </w:pPr>
      <w:r>
        <w:t xml:space="preserve">Câu hỏi 3 (Q3): Tác động quốc tế hóa và hiệu quả và cơ chế điều tiết có thay đổi theo thời gian không, đặc biệt giữa giai đoạn 2009–2012 và 2018–2025?</w:t>
      </w:r>
    </w:p>
    <w:bookmarkEnd w:id="28"/>
    <w:bookmarkStart w:id="29"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50 nền kinh tế (gồm Nhật Bản) phân theo sáu nhóm ICRV (6+6+6+7+17+8).</w:t>
      </w:r>
    </w:p>
    <w:p>
      <w:pPr>
        <w:pStyle w:val="BodyText"/>
      </w:pPr>
      <w:r>
        <w:t xml:space="preserve">Phạm vi thời gian: 2009–2026 (kèm đợt khảo sát Oman 2026 trong bộ dữ liệu hợp nhất), bao trùm ba thế hệ lược đồ WBES, tạo thành 103 cặp nền kinh tế–năm trên khung phân tích 50 nền (gồm Nhật Bản).</w:t>
      </w:r>
    </w:p>
    <w:p>
      <w:pPr>
        <w:pStyle w:val="BodyText"/>
      </w:pPr>
      <w:r>
        <w:t xml:space="preserve">Phạm vi nội dung: mô hình hóa quan hệ quốc tế hóa và hiệu quả và bốn cơ chế điều tiết cộng với tính không đồng nhất theo thời gian. Chuyên đề không trình bày kết quả thực nghiệm từ toàn bộ mẫu gộp, đó là nhiệm vụ của các bài báo tiếp theo trong chuỗi luận án. Chuyên đề này tập trung xây dựng và đặc tả mô hình.</w:t>
      </w:r>
    </w:p>
    <w:bookmarkEnd w:id="29"/>
    <w:bookmarkStart w:id="30" w:name="ý-nghĩa"/>
    <w:p>
      <w:pPr>
        <w:pStyle w:val="Heading4"/>
      </w:pPr>
      <w:r>
        <w:t xml:space="preserve">2.1.5 Ý nghĩa</w:t>
      </w:r>
    </w:p>
    <w:p>
      <w:pPr>
        <w:pStyle w:val="FirstParagraph"/>
      </w:pPr>
      <w:r>
        <w:t xml:space="preserve">Về lý thuyết, chuyên đề đóng góp khung tích hợp 4 tầng kết hợp Khung chấp nhận số nền tảng, chưa có khung tương đương trong tài liệu IB cho khu vực 50 nền kinh tế (gồm Nhật Bản)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tài liệu châu Á kiểm định đồng thời phi tuyến quốc tế hóa và hiệu quả và điều tiết đa tầng trên mẫu gộp vi mô lớn nhất từ trước đến nay.</w:t>
      </w:r>
    </w:p>
    <w:p>
      <w:pPr>
        <w:pStyle w:val="BodyText"/>
      </w:pPr>
      <w:r>
        <w:t xml:space="preserve">Về thực tiễn, kết quả cung cấp hàm ý chính sách cho doanh nghiệp Việt Nam và châu Á mới nổi về cách tận dụng quốc tế hóa kết hợp năng lực công nghệ và số hóa, đặc biệt trong giai đoạn AI bùng nổ.</w:t>
      </w:r>
    </w:p>
    <w:p>
      <w:r>
        <w:pict>
          <v:rect style="width:0;height:1.5pt" o:hralign="center" o:hrstd="t" o:hr="t"/>
        </w:pict>
      </w:r>
    </w:p>
    <w:bookmarkEnd w:id="30"/>
    <w:bookmarkEnd w:id="31"/>
    <w:bookmarkStart w:id="32"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sai số chuẩn vững (Long &amp; Ervin, 2000) làm chuẩn, hai chiều hiệu ứng cố định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2"/>
    <w:bookmarkStart w:id="84" w:name="kết-quả-và-thảo-luận"/>
    <w:p>
      <w:pPr>
        <w:pStyle w:val="Heading3"/>
      </w:pPr>
      <w:r>
        <w:t xml:space="preserve">2.3 Kết quả và thảo luận</w:t>
      </w:r>
    </w:p>
    <w:bookmarkStart w:id="36" w:name="X738edd18734ed39dd3ad1441b2baf3f5818c8a1"/>
    <w:p>
      <w:pPr>
        <w:pStyle w:val="Heading4"/>
      </w:pPr>
      <w:r>
        <w:t xml:space="preserve">2.3.1 Tổng quan tài liệu về quan hệ quốc tế hóa và hiệu quả kinh doanh</w:t>
      </w:r>
    </w:p>
    <w:bookmarkStart w:id="33" w:name="X164425e602d73f49b1675f9cb337c873d1b4113"/>
    <w:p>
      <w:pPr>
        <w:pStyle w:val="Heading5"/>
      </w:pPr>
      <w:r>
        <w:t xml:space="preserve">Năm dạng hàm của quan hệ quốc tế hóa và hiệu quả</w:t>
      </w:r>
    </w:p>
    <w:p>
      <w:pPr>
        <w:pStyle w:val="FirstParagraph"/>
      </w:pPr>
      <w:r>
        <w:t xml:space="preserve">Tài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khuôn mẫu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quốc tế hóa và hiệu quả,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3"/>
    <w:bookmarkStart w:id="34"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quốc tế hóa và hiệu quả.</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hồi quy phân tích tổng hợp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đây là nền tảng quan trọng nhất ủng hộ phổ thể chế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quốc tế hóa và hiệu quả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mẫu gộp 88.869 doanh nghiệp (50 nền, gồm Nhật Bản)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 (không kiểm định hệ thống)</w:t>
            </w:r>
          </w:p>
        </w:tc>
        <w:tc>
          <w:tcPr/>
          <w:p>
            <w:pPr>
              <w:pStyle w:val="Compact"/>
              <w:jc w:val="left"/>
            </w:pPr>
            <w:r>
              <w:t xml:space="preserve">Partial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Có (GDP, văn hóa)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Kirca et al. (2012)</w:t>
            </w:r>
          </w:p>
        </w:tc>
        <w:tc>
          <w:tcPr/>
          <w:p>
            <w:pPr>
              <w:pStyle w:val="Compact"/>
              <w:jc w:val="left"/>
            </w:pPr>
            <w:r>
              <w:t xml:space="preserve">✗</w:t>
            </w:r>
          </w:p>
        </w:tc>
        <w:tc>
          <w:tcPr/>
          <w:p>
            <w:pPr>
              <w:pStyle w:val="Compact"/>
              <w:jc w:val="left"/>
            </w:pPr>
            <w:r>
              <w:t xml:space="preserve">Có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 (ngành)</w:t>
            </w:r>
          </w:p>
        </w:tc>
        <w:tc>
          <w:tcPr/>
          <w:p>
            <w:pPr>
              <w:pStyle w:val="Compact"/>
              <w:jc w:val="left"/>
            </w:pPr>
            <w:r>
              <w:t xml:space="preserve">✗</w:t>
            </w:r>
          </w:p>
        </w:tc>
      </w:tr>
      <w:tr>
        <w:tc>
          <w:tcPr/>
          <w:p>
            <w:pPr>
              <w:pStyle w:val="Compact"/>
              <w:jc w:val="left"/>
            </w:pPr>
            <w:r>
              <w:t xml:space="preserve">Marano et al. (2016)</w:t>
            </w:r>
          </w:p>
        </w:tc>
        <w:tc>
          <w:tcPr/>
          <w:p>
            <w:pPr>
              <w:pStyle w:val="Compact"/>
              <w:jc w:val="left"/>
            </w:pPr>
            <w:r>
              <w:t xml:space="preserve">Có (TP ±15% FSTS)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Có (cốt lõi)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Có (cốt lõi)</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w:t>
            </w:r>
          </w:p>
        </w:tc>
        <w:tc>
          <w:tcPr/>
          <w:p>
            <w:pPr>
              <w:pStyle w:val="Compact"/>
              <w:jc w:val="left"/>
            </w:pPr>
            <w:r>
              <w:t xml:space="preserve">✗</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w:t>
            </w:r>
          </w:p>
        </w:tc>
      </w:tr>
      <w:tr>
        <w:tc>
          <w:tcPr/>
          <w:p>
            <w:pPr>
              <w:pStyle w:val="Compact"/>
              <w:jc w:val="left"/>
            </w:pPr>
            <w:r>
              <w:t xml:space="preserve">Đỗ &amp; Phan (2026c, JFAR)</w:t>
            </w:r>
          </w:p>
        </w:tc>
        <w:tc>
          <w:tcPr/>
          <w:p>
            <w:pPr>
              <w:pStyle w:val="Compact"/>
              <w:jc w:val="left"/>
            </w:pPr>
            <w:r>
              <w:t xml:space="preserve">Có (chữ U ngược bậc hai)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Có (H4a–H4c)</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I–VI)</w:t>
            </w:r>
          </w:p>
        </w:tc>
        <w:tc>
          <w:tcPr/>
          <w:p>
            <w:pPr>
              <w:pStyle w:val="Compact"/>
              <w:jc w:val="left"/>
            </w:pPr>
            <w:r>
              <w:rPr>
                <w:bCs/>
                <w:b/>
              </w:rPr>
              <w:t xml:space="preserve">Có (Nhóm VI FIP)</w:t>
            </w:r>
          </w:p>
        </w:tc>
      </w:tr>
    </w:tbl>
    <w:p>
      <w:pPr>
        <w:pStyle w:val="BodyText"/>
      </w:pPr>
      <w:r>
        <w:rPr>
          <w:iCs/>
          <w:i/>
        </w:rPr>
        <w:t xml:space="preserve">Ghi chú:</w:t>
      </w:r>
      <w:r>
        <w:rPr>
          <w:iCs/>
          <w:i/>
        </w:rPr>
        <w:t xml:space="preserve"> </w:t>
      </w:r>
      <w:r>
        <w:rPr>
          <w:iCs/>
          <w:i/>
        </w:rPr>
        <w:t xml:space="preserve">“</w:t>
      </w:r>
      <w:r>
        <w:rPr>
          <w:iCs/>
          <w:i/>
        </w:rPr>
        <w:t xml:space="preserve">Có</w:t>
      </w:r>
      <w:r>
        <w:rPr>
          <w:iCs/>
          <w:i/>
        </w:rPr>
        <w:t xml:space="preserve">”</w:t>
      </w:r>
      <w:r>
        <w:rPr>
          <w:iCs/>
          <w:i/>
        </w:rPr>
        <w:t xml:space="preserve"> </w:t>
      </w:r>
      <w:r>
        <w:rPr>
          <w:iCs/>
          <w:i/>
        </w:rPr>
        <w:t xml:space="preserve">= kiểm định chính thức hoặc đóng góp lý thuyết rõ ràng; Partial = đề cập nhưng không phải trọng tâm; ✗ = không bao gồm; – = không áp dụng. FIP = Forced Internationalization Penalty. TCI và DAI được phân tách theo tiêu chí CDCM; P2 JFAR không kiểm định CDCM (pre-framework) nhưng cung cấp bằng chứng phi tuyến cubic tiền thân.</w:t>
      </w:r>
    </w:p>
    <w:bookmarkEnd w:id="34"/>
    <w:bookmarkStart w:id="35" w:name="Xc1ee8ae98659a4ba0165f9ba23dbc70e097d79e"/>
    <w:p>
      <w:pPr>
        <w:pStyle w:val="Heading5"/>
      </w:pPr>
      <w:r>
        <w:t xml:space="preserve">Bằng chứng châu Á từ ba bản thảo đồng hành</w:t>
      </w:r>
    </w:p>
    <w:p>
      <w:pPr>
        <w:pStyle w:val="FirstParagraph"/>
      </w:pPr>
      <w:r>
        <w:t xml:space="preserve">P3 Việt Nam (Đỗ &amp; Phan, 2026a, JABS đang phản biện):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(nhất quán với mô hình chọn lọc năng suất xuất khẩu của Melitz, 2003);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(Mục 3.2–Mục 3.3) và luận án (Mục 4.5.1). Chuỗi M0–M7 trong Chuyên đề 2 là các mô hình cấp độ mẫu gộp 50 nền kinh tế, khác với đặc tả cấp độ quốc gia của P3.</w:t>
      </w:r>
    </w:p>
    <w:p>
      <w:pPr>
        <w:pStyle w:val="BodyText"/>
      </w:pPr>
      <w:r>
        <w:t xml:space="preserve">P4 Singapore (Mar, Đỗ &amp; Phan, 2026, MIR đang phản biện): Phân tích 623 doanh nghiệp WBES 2023. Trong nền kinh tế số bão hòa, đường cong quốc tế hóa và hiệu quả chủ yếu dương,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2026b, IJOEM đang phản biện): Phân tích 4.544 doanh nghiệp WBES hai sóng (2012, 2024). Chữ U ngược bền vững cấu trúc, điểm uốn 49,4% (2012), 47,2% (2024), kiểm định Paternoster cho hệ số FSTS² không có sự khác biệt đáng kể (p = 0,545). TCI tăng cường theo thời gian (+0,260 sang +0,426, Paternoster p = 0,011).</w:t>
      </w:r>
    </w:p>
    <w:p>
      <w:pPr>
        <w:pStyle w:val="BodyText"/>
      </w:pPr>
      <w:r>
        <w:t xml:space="preserve">Bảng 2.3. So sánh bằng chứng bốn bản thảo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(đang phản biện)</w:t>
            </w:r>
          </w:p>
        </w:tc>
        <w:tc>
          <w:tcPr/>
          <w:p>
            <w:pPr>
              <w:pStyle w:val="Compact"/>
              <w:jc w:val="left"/>
            </w:pPr>
            <w:r>
              <w:t xml:space="preserve">MIR (đang phản biện)</w:t>
            </w:r>
          </w:p>
        </w:tc>
        <w:tc>
          <w:tcPr/>
          <w:p>
            <w:pPr>
              <w:pStyle w:val="Compact"/>
              <w:jc w:val="left"/>
            </w:pPr>
            <w:r>
              <w:t xml:space="preserve">IJOEM (đang phản biện)</w:t>
            </w:r>
          </w:p>
        </w:tc>
      </w:tr>
      <w:tr>
        <w:tc>
          <w:tcPr/>
          <w:p>
            <w:pPr>
              <w:pStyle w:val="Compact"/>
              <w:jc w:val="left"/>
            </w:pPr>
            <w:r>
              <w:t xml:space="preserve">Dạng I–P</w:t>
            </w:r>
          </w:p>
        </w:tc>
        <w:tc>
          <w:tcPr/>
          <w:p>
            <w:pPr>
              <w:pStyle w:val="Compact"/>
              <w:jc w:val="left"/>
            </w:pPr>
            <w:r>
              <w:rPr>
                <w:bCs/>
                <w:b/>
              </w:rPr>
              <w:t xml:space="preserve">Chữ U ngược bậc hai</w:t>
            </w:r>
            <w:r>
              <w:t xml:space="preserve"> </w:t>
            </w:r>
            <w:r>
              <w:t xml:space="preserve">(điểm uốn 47,8%)</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47,8% FSTS</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2026c, JFAR) là bản thảo tiền thân đã công bố, tìm thấy quan hệ chữ U ngược bậc hai (điểm uốn 47,8% FSTS, mẫu 4.290 quan sát doanh nghiệp–năm) trong nhóm doanh nghiệp nhỏ và vừa Trung Quốc, là bằng chứng nền tảng cho dạng phi tuyến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bậc hai là dạng hàm phổ biến nhất cho doanh nghiệp vừa và nhỏ châu Á với điểm uốn phụ thuộc vào ICRV.</w:t>
      </w:r>
    </w:p>
    <w:bookmarkEnd w:id="35"/>
    <w:bookmarkEnd w:id="36"/>
    <w:bookmarkStart w:id="43" w:name="khung-lý-thuyết-tích-hợp-4-tầng"/>
    <w:p>
      <w:pPr>
        <w:pStyle w:val="Heading4"/>
      </w:pPr>
      <w:r>
        <w:t xml:space="preserve">2.3.2 Khung lý thuyết tích hợp 4 tầng</w:t>
      </w:r>
    </w:p>
    <w:bookmarkStart w:id="37"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7"/>
    <w:bookmarkStart w:id="38" w:name="X2c85e26e6ba3228bf003793c40503d5a193d2b2"/>
    <w:p>
      <w:pPr>
        <w:pStyle w:val="Heading5"/>
      </w:pPr>
      <w:r>
        <w:t xml:space="preserve">Tầng 2: Lý thuyết doanh nghiệp dựa trên nguồn lực (RBV)</w:t>
      </w:r>
    </w:p>
    <w:p>
      <w:pPr>
        <w:pStyle w:val="FirstParagraph"/>
      </w:pPr>
      <w:r>
        <w:t xml:space="preserve">lý thuyết dựa trên nguồn lực (Wernerfelt, 1984; Barney, 1991) cho rằng lợi thế cạnh tranh bền vững xuất phát từ nguồn lực có giá trị, hiếm, khó bắt chước, và không thay thế (VRIN). Doanh nghiệp khác nhau về hiệu quả vì sở hữu các bộ nguồn lực khác nhau. Các phát triển gần đây mở rộng lý thuyết dựa trên nguồn lực sang lợi thế cạnh tranh bền vững gắn với bối cảnh môi trường, xã hội và quản trị (Bhandari, Ranta &amp; Salo, 2023).</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lý thuyết dựa trên nguồn lực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sang +0,426) ủng hộ TCI là nguồn lực VRIN bền vững.</w:t>
      </w:r>
    </w:p>
    <w:bookmarkEnd w:id="38"/>
    <w:bookmarkStart w:id="39"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phổ thể chế).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39"/>
    <w:bookmarkStart w:id="40" w:name="Xe8eb320d620bcae986a5f0f08d76353e5906bd0"/>
    <w:p>
      <w:pPr>
        <w:pStyle w:val="Heading5"/>
      </w:pPr>
      <w:r>
        <w:t xml:space="preserve">Tầng 4: Lý thuyết lý thuyết thượng tầng quản trị</w:t>
      </w:r>
    </w:p>
    <w:p>
      <w:pPr>
        <w:pStyle w:val="FirstParagraph"/>
      </w:pPr>
      <w:r>
        <w:t xml:space="preserve">Hambrick và Mason (1984) đề xuất lý thuyết thượng tầng quản trị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lý thuyết thượng tầng quản trị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0"/>
    <w:bookmarkStart w:id="41" w:name="khung-chấp-nhận-số-nền-tảng-và-cdcm"/>
    <w:p>
      <w:pPr>
        <w:pStyle w:val="Heading5"/>
      </w:pPr>
      <w:r>
        <w:t xml:space="preserve">Khung chấp nhận số nền tảng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Tầng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Tầng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Tầng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quốc tế hóa và hiệu quả trong giai đoạn 2018 trở đi, nhưng chỉ khi phân tách đúng cấp độ năng lực.</w:t>
      </w:r>
    </w:p>
    <w:bookmarkEnd w:id="41"/>
    <w:bookmarkStart w:id="42"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đến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DAI×FSTS² =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Phổ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gồm định hướng quốc tế của đội ngũ quản trị cấp cao (Upper Echelons/Hambrick &amp; Mason, 1984; Nielsen &amp; Nielsen, 2011); bị khuôn khổ bởi thể chế nội địa (Institutional Theory/North, 1990), phổ thể chế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hiệu ứng cố định có thể đa cộng; CDCM chỉ đo ở Tầng 1–2 do hạn chế WBES.</w:t>
      </w:r>
    </w:p>
    <w:bookmarkEnd w:id="42"/>
    <w:bookmarkEnd w:id="43"/>
    <w:bookmarkStart w:id="53"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lý thuyết dựa trên nguồn lực, lý thuyết thể chế, lý thuyết thượng tầng quản trị và Khung chấp nhận số nền tảng,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7" w:name="X554d9a38aa5071c54dd41cf832555f814bf88a4"/>
    <w:p>
      <w:pPr>
        <w:pStyle w:val="Heading5"/>
      </w:pPr>
      <w:r>
        <w:t xml:space="preserve">Hình 2.1: Khung khái niệm tích hợp (tổng quan)</w:t>
      </w:r>
    </w:p>
    <w:p>
      <w:pPr>
        <w:pStyle w:val="CaptionedFigure"/>
      </w:pPr>
      <w:r>
        <w:drawing>
          <wp:inline>
            <wp:extent cx="5753100" cy="3040985"/>
            <wp:effectExtent b="0" l="0" r="0" t="0"/>
            <wp:docPr descr="Hình 2.1: Khung khái niệm tích hợp CĐ2" title="" id="45" name="Picture"/>
            <a:graphic>
              <a:graphicData uri="http://schemas.openxmlformats.org/drawingml/2006/picture">
                <pic:pic>
                  <pic:nvPicPr>
                    <pic:cNvPr descr="figures/hinh_2_1_khung_khai_niem.png" id="46" name="Picture"/>
                    <pic:cNvPicPr>
                      <a:picLocks noChangeArrowheads="1" noChangeAspect="1"/>
                    </pic:cNvPicPr>
                  </pic:nvPicPr>
                  <pic:blipFill>
                    <a:blip r:embed="rId44"/>
                    <a:stretch>
                      <a:fillRect/>
                    </a:stretch>
                  </pic:blipFill>
                  <pic:spPr bwMode="auto">
                    <a:xfrm>
                      <a:off x="0" y="0"/>
                      <a:ext cx="5753100" cy="3040985"/>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ngành/country/year FE) được đưa vào mô hình thực nghiệm nhưng không hiển thị trong sơ đồ để đơn giản hóa trình bày. Mỗi tầng lý thuyết cung cấp cơ chế nhân quả riêng biệt: Uppsala giải thích đường cong quốc tế hóa và hiệu quả; lý thuyết dựa trên nguồn lực biện minh cho H2; Khung chấp nhận số nền tảng (CDCM) biện minh cho H3; lý thuyết thượng tầng quản trị biện minh cho H4; lý thuyết thể chế biện minh cho H5. Bằng chứng neo đậu từ P3 Việt Nam, P4 Singapore và P5 Trung Quốc xác nhận tính khả nghiệm trước khi áp dụng cho toàn mẫu gộp 88.869 doanh nghiệp (50 nền, gồm Nhật Bản).</w:t>
      </w:r>
    </w:p>
    <w:bookmarkEnd w:id="47"/>
    <w:bookmarkStart w:id="51" w:name="hình-2.2-cơ-chế-cdcm-chi-tiết"/>
    <w:p>
      <w:pPr>
        <w:pStyle w:val="Heading5"/>
      </w:pPr>
      <w:r>
        <w:t xml:space="preserve">Hình 2.2: Cơ chế CDCM chi tiết</w:t>
      </w:r>
    </w:p>
    <w:p>
      <w:pPr>
        <w:pStyle w:val="CaptionedFigure"/>
      </w:pPr>
      <w:r>
        <w:drawing>
          <wp:inline>
            <wp:extent cx="5753100" cy="2244603"/>
            <wp:effectExtent b="0" l="0" r="0" t="0"/>
            <wp:docPr descr="Hình 2.2: Cơ chế CDCM theo ba nhóm ICRV" title="" id="49" name="Picture"/>
            <a:graphic>
              <a:graphicData uri="http://schemas.openxmlformats.org/drawingml/2006/picture">
                <pic:pic>
                  <pic:nvPicPr>
                    <pic:cNvPr descr="figures/hinh_2_2_cdcm_detail.png" id="50" name="Picture"/>
                    <pic:cNvPicPr>
                      <a:picLocks noChangeArrowheads="1" noChangeAspect="1"/>
                    </pic:cNvPicPr>
                  </pic:nvPicPr>
                  <pic:blipFill>
                    <a:blip r:embed="rId48"/>
                    <a:stretch>
                      <a:fillRect/>
                    </a:stretch>
                  </pic:blipFill>
                  <pic:spPr bwMode="auto">
                    <a:xfrm>
                      <a:off x="0" y="0"/>
                      <a:ext cx="5753100" cy="2244603"/>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Country–Digital–Capability Moderation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quốc tế hóa và hiệu quả thay đổi theo regime thể chế và mức bão hòa số của nền kinh tế. Nhóm I (Singapore, Advanced I, bão hòa số cao): DAI Tầng 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Tầng 1 là ràng buộc đo lường; tác động dương theo OLS nhưng biến mất sau hiệu chỉnh nội sinh biến công cụ (β = 0,018, p = 0,942; P3). Nhóm III (Trung Quốc, Upper-Middle/Emerging transition, bão hòa số trung bình): DAI Tầng 1 phổ biến &gt;60%, mất khả năng phân biệt, giữ như biến kiểm soát không phải biến điều tiết (P5).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1"/>
    <w:bookmarkStart w:id="52"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III,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lược đồ BEE (2019 trở đi). DAI_z_tier1 (Tier 1): z-mean(c22b) có xuyên tất cả lược đồ. FSTS được tính trung tâm theo mean trong mỗi ô quốc gia-sóng trước khi tính FSTS² để giảm đa cộng tuyến.</w:t>
      </w:r>
    </w:p>
    <w:bookmarkEnd w:id="52"/>
    <w:bookmarkEnd w:id="53"/>
    <w:bookmarkStart w:id="62" w:name="hệ-giả-thuyết-nghiên-cứu-h1h6"/>
    <w:p>
      <w:pPr>
        <w:pStyle w:val="Heading4"/>
      </w:pPr>
      <w:r>
        <w:t xml:space="preserve">2.3.4 Hệ giả thuyết nghiên cứu (H1–H6)</w:t>
      </w:r>
    </w:p>
    <w:bookmarkStart w:id="54"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tài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54"/>
    <w:bookmarkStart w:id="55" w:name="X8a9e88460ae4e1b85cd12a03beef213b73b6d78"/>
    <w:p>
      <w:pPr>
        <w:pStyle w:val="Heading5"/>
      </w:pPr>
      <w:r>
        <w:t xml:space="preserve">H1: Phi tuyến trong quan hệ quốc tế hóa và hiệu quả</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và chính sự tồn tại của chữ U ngược khác nhau theo chế độ thể chế: trên khung 50 nền, chữ U ngược định hình rõ nét và tin cậy nhất ở Nhóm IV (điểm uốn 43,0%, trùng các ước lượng đơn quốc gia Việt Nam 39–46% và Ấn Độ 40,7%); ở Nhóm I đường cong duỗi thẳng gần tuyến tính dương (điểm uốn ngoài miền dữ liệu, trùng Singapore); ở Nhóm V quan hệ mất ý nghĩa thống kê và Nhóm VI không có chữ U ngược (~50–55%). Nhóm VI có khuôn mẫu gánh nặng bắt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phổ thể chế ICRV:</w:t>
      </w:r>
      <w:r>
        <w:t xml:space="preserve"> </w:t>
      </w:r>
      <w:r>
        <w:rPr>
          <w:bCs/>
          <w:b/>
        </w:rPr>
        <w:t xml:space="preserve">thấp nhất ở Nhóm I (~28%)</w:t>
      </w:r>
      <w:r>
        <w:t xml:space="preserve">, tăng dần qua Nhóm III (~47–49%) sang Nhóm IV (~39–46%) sang Nhóm V (~50–55%), với Nhóm VI có khuôn mẫu gánh nặng bắt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quốc tế hóa và hiệu quả.</w:t>
      </w:r>
    </w:p>
    <w:p>
      <w:pPr>
        <w:pStyle w:val="BodyText"/>
      </w:pPr>
      <w:r>
        <w:t xml:space="preserve">H1b (biên cường độ, gần phẳng): Trong mẫu chỉ gồm doanh nghiệp xuất khẩu, đường cong quốc tế hóa và hiệu quả gần phẳng, tức là sau khi đã xuất khẩu, việc tăng cường độ tiếp theo không tạo thêm nhiều lợi ích năng suất nếu không có TCI và DAI đủ mạnh.</w:t>
      </w:r>
    </w:p>
    <w:bookmarkEnd w:id="55"/>
    <w:bookmarkStart w:id="56" w:name="h2-tci-điều-tiết-tích-cực-nâng-mặt-bằng"/>
    <w:p>
      <w:pPr>
        <w:pStyle w:val="Heading5"/>
      </w:pPr>
      <w:r>
        <w:t xml:space="preserve">H2: TCI điều tiết tích cực (nâng mặt bằng)</w:t>
      </w:r>
    </w:p>
    <w:p>
      <w:pPr>
        <w:pStyle w:val="FirstParagraph"/>
      </w:pPr>
      <w:r>
        <w:t xml:space="preserve">Cơ sở lý thuyết: lý thuyết dựa trên nguồn lực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sang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chỉ số năng lực công nghệ (TCI) có mối quan hệ dương trực tiếp với hiệu quả doanh nghiệp (β(TCI) &gt; 0) và nâng mặt bằng ln(LP) của toàn bộ đường cong quốc tế hóa và hiệu quả (hiệu ứng nâng mặt bằng). Tác động điều tiết của TCI lên độ cong của đường cong là câu hỏi thực nghiệm mở và được kiểm định như H2 khám phá trong M3.</w:t>
      </w:r>
    </w:p>
    <w:bookmarkEnd w:id="56"/>
    <w:bookmarkStart w:id="57" w:name="X1c9c953fc89a4348f4f643e69b0c33ec6bd1f9d"/>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(Đang nổi)</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quốc tế hóa và hiệu quả.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(các nền đang nổi và chuyển đổi, Nhóm III–V): Trong các nền kinh tế này, DAI điều tiết tích cực quan hệ FSTS sang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sub-hypothesis (CDCM distinctiveness hypothesis, H3c: β(TCI) ≠ β(DAI) và hai cấu trúc thỏa mãn tiêu chí discriminant validity).</w:t>
      </w:r>
    </w:p>
    <w:bookmarkEnd w:id="57"/>
    <w:bookmarkStart w:id="58" w:name="h4ah4c-đặc-điểm-nhà-quản-trị-điều-tiết"/>
    <w:p>
      <w:pPr>
        <w:pStyle w:val="Heading5"/>
      </w:pPr>
      <w:r>
        <w:t xml:space="preserve">H4a–H4c: Đặc điểm nhà quản trị điều tiết</w:t>
      </w:r>
    </w:p>
    <w:p>
      <w:pPr>
        <w:pStyle w:val="FirstParagraph"/>
      </w:pPr>
      <w:r>
        <w:t xml:space="preserve">Cơ sở lý thuyết: lý thuyết thượng tầng quản trị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sang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sang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tài liệu lý thuyết thượng tầng quản trị không đồng nhất về chiều hướng cho châu Á (Hambrick, 2007); H4c vì vậy là exploratory.</w:t>
      </w:r>
    </w:p>
    <w:p>
      <w:pPr>
        <w:pStyle w:val="BodyText"/>
      </w:pPr>
      <w:r>
        <w:t xml:space="preserve">Phạm vi kiểm định: H4a–H4b là biến đại diện (proxy) cho cơ chế lý thuyết thượng tầng quản trị, kết quả là chỉ báo gián tiếp, không phải kiểm định trực tiếp cấu trúc lý thuyết gốc. Hạn chế này cần được thừa nhận rõ trong phần thảo luận kết quả.</w:t>
      </w:r>
    </w:p>
    <w:bookmarkEnd w:id="58"/>
    <w:bookmarkStart w:id="59" w:name="Xdc105cdbc1f44bae5408ec2aee9fc7cd8005d15"/>
    <w:p>
      <w:pPr>
        <w:pStyle w:val="Heading5"/>
      </w:pPr>
      <w:r>
        <w:t xml:space="preserve">H5: Thể chế ICRV điều tiết theo phổ thể chế</w:t>
      </w:r>
    </w:p>
    <w:p>
      <w:pPr>
        <w:pStyle w:val="FirstParagraph"/>
      </w:pPr>
      <w:r>
        <w:t xml:space="preserve">Cơ sở lý thuyết: lý thuyết thể chế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gần tuyến tính dương; điểm uốn ngoài miền dữ liệu</w:t>
            </w:r>
          </w:p>
        </w:tc>
        <w:tc>
          <w:tcPr/>
          <w:p>
            <w:pPr>
              <w:pStyle w:val="Compact"/>
              <w:jc w:val="left"/>
            </w:pPr>
            <w:r>
              <w:t xml:space="preserve">P7 50 nền: pooled TP M5 = 43,6% (N=79.080; M2 N=81.022); trong Nhóm I đường cong không định hình (LM p = ,30), nhất quán P4 Singapore (TP ~88,6%, LM p = ,303, không có ý nghĩa)</w:t>
            </w:r>
          </w:p>
        </w:tc>
      </w:tr>
      <w:tr>
        <w:tc>
          <w:tcPr/>
          <w:p>
            <w:pPr>
              <w:pStyle w:val="Compact"/>
              <w:jc w:val="left"/>
            </w:pPr>
            <w:r>
              <w:t xml:space="preserve">Nhóm II (tiên tiến tài nguyên)</w:t>
            </w:r>
          </w:p>
        </w:tc>
        <w:tc>
          <w:tcPr/>
          <w:p>
            <w:pPr>
              <w:pStyle w:val="Compact"/>
              <w:jc w:val="left"/>
            </w:pPr>
            <w:r>
              <w:t xml:space="preserve">Chữ U ngược ở biên ý nghĩa (~62%)</w:t>
            </w:r>
          </w:p>
        </w:tc>
        <w:tc>
          <w:tcPr/>
          <w:p>
            <w:pPr>
              <w:pStyle w:val="Compact"/>
              <w:jc w:val="left"/>
            </w:pPr>
            <w:r>
              <w:t xml:space="preserve">Kết quả 50 nền: TP 62,0%, LM p = ,081</w:t>
            </w:r>
          </w:p>
        </w:tc>
      </w:tr>
      <w:tr>
        <w:tc>
          <w:tcPr/>
          <w:p>
            <w:pPr>
              <w:pStyle w:val="Compact"/>
              <w:jc w:val="left"/>
            </w:pPr>
            <w:r>
              <w:t xml:space="preserve">Nhóm III (trung bình cao)</w:t>
            </w:r>
          </w:p>
        </w:tc>
        <w:tc>
          <w:tcPr/>
          <w:p>
            <w:pPr>
              <w:pStyle w:val="Compact"/>
              <w:jc w:val="left"/>
            </w:pPr>
            <w:r>
              <w:t xml:space="preserve">Không xác định ở cấp nhóm; ~47–49% ở Trung Quốc</w:t>
            </w:r>
          </w:p>
        </w:tc>
        <w:tc>
          <w:tcPr/>
          <w:p>
            <w:pPr>
              <w:pStyle w:val="Compact"/>
              <w:jc w:val="left"/>
            </w:pPr>
            <w:r>
              <w:t xml:space="preserve">Kết quả 50 nền: LM p = ,26; P5 Trung Quốc TP 47–49%***</w:t>
            </w:r>
          </w:p>
        </w:tc>
      </w:tr>
      <w:tr>
        <w:tc>
          <w:tcPr/>
          <w:p>
            <w:pPr>
              <w:pStyle w:val="Compact"/>
              <w:jc w:val="left"/>
            </w:pPr>
            <w:r>
              <w:t xml:space="preserve">Nhóm IV (chuyển đổi TB-thấp)</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(đang nổi)</w:t>
            </w:r>
          </w:p>
        </w:tc>
        <w:tc>
          <w:tcPr/>
          <w:p>
            <w:pPr>
              <w:pStyle w:val="Compact"/>
              <w:jc w:val="left"/>
            </w:pPr>
            <w:r>
              <w:t xml:space="preserve">Quan hệ mất cấu trúc, không xác định</w:t>
            </w:r>
          </w:p>
        </w:tc>
        <w:tc>
          <w:tcPr/>
          <w:p>
            <w:pPr>
              <w:pStyle w:val="Compact"/>
              <w:jc w:val="left"/>
            </w:pPr>
            <w:r>
              <w:t xml:space="preserve">Kết quả 50 nền: LM p = ,18; khoảng trống thể chế làm phần thưởng nhỏ và bất định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quốc tế hóa và hiệu quả có dạng ba vùng: chữ U ngược định hình rõ ở vùng giữa phổ thể chế (Nhóm IV, điểm uốn 43,0%); duỗi thẳng gần tuyến tính dương ở biên trên (Nhóm I–II); mất cấu trúc ở biên dưới (Nhóm V không ý nghĩa; Nhóm VI có khuôn mẫu gánh nặng bắt buộc). Thể chế càng mạnh; ở biên trên phổ thể chế, chi phí giao dịch thấp và năng lực điều phối cao đẩy nhánh đi xuống ra ngoài miền quan sát thay vì tạo đỉnh sớm hơn.</w:t>
      </w:r>
    </w:p>
    <w:bookmarkEnd w:id="59"/>
    <w:bookmarkStart w:id="60"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quốc tế hóa và hiệu quả.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quốc tế hóa và hiệu quả dịch chuyển đáng kể. P5 Trung Quốc: TCI Paternoster p = 0,011, hiệu ứng TCI tăng cường 2012 xuống 2024. P5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0"/>
    <w:bookmarkStart w:id="61"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đến +0,426</w:t>
            </w:r>
          </w:p>
        </w:tc>
      </w:tr>
      <w:tr>
        <w:tc>
          <w:tcPr/>
          <w:p>
            <w:pPr>
              <w:pStyle w:val="Compact"/>
              <w:jc w:val="left"/>
            </w:pPr>
            <w:r>
              <w:t xml:space="preserve">H3a</w:t>
            </w:r>
          </w:p>
        </w:tc>
        <w:tc>
          <w:tcPr/>
          <w:p>
            <w:pPr>
              <w:pStyle w:val="Compact"/>
              <w:jc w:val="left"/>
            </w:pPr>
            <w:r>
              <w:t xml:space="preserve">DAI nhóm đang nổi/chuyển đổi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Direct: null/–; cond: β(FSTS²×DAI)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phổ thể chế; Nhóm VI gánh nặng bắt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Mười một mệnh đề con dưới sáu giả thuyết chính H1–H6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lý thuyết thượng tầng quản trị với dấu kỳ vọng phân biệt theo đặc điểm nhà quản trị; H5 (ICRV phổ thể chế)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quốc tế hóa và hiệu quả ở Nhóm I, câu hỏi chưa được trả lời trong bất kỳ nghiên cứu quốc tế hóa và hiệu quả nào trước đây.</w:t>
      </w:r>
    </w:p>
    <w:bookmarkEnd w:id="61"/>
    <w:bookmarkEnd w:id="62"/>
    <w:bookmarkStart w:id="73" w:name="thiết-kế-mô-hình-thực-nghiệm-m0m7"/>
    <w:p>
      <w:pPr>
        <w:pStyle w:val="Heading4"/>
      </w:pPr>
      <w:r>
        <w:t xml:space="preserve">2.3.5 Thiết kế mô hình thực nghiệm (M0–M7)</w:t>
      </w:r>
    </w:p>
    <w:bookmarkStart w:id="63"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hiệu ứng cố định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63"/>
    <w:bookmarkStart w:id="64" w:name="m0-cơ-sở-tuyến-tính"/>
    <w:p>
      <w:pPr>
        <w:pStyle w:val="Heading5"/>
      </w:pPr>
      <w:r>
        <w:t xml:space="preserve">M0: Cơ sở tuyến tính</w:t>
      </w:r>
    </w:p>
    <w:p>
      <w:pPr>
        <w:pStyle w:val="FirstParagraph"/>
      </w:pPr>
    </w:p>
    <w:p>
      <w:pPr>
        <w:pStyle w:val="BodyText"/>
      </w:pPr>
      <w:r>
        <w:t xml:space="preserve">Mục đích: thiết lập cơ sở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cung cấp ước lượng cận dưới cho tác động quốc tế hóa.</w:t>
      </w:r>
    </w:p>
    <w:bookmarkEnd w:id="64"/>
    <w:bookmarkStart w:id="65"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tài liệu.</w:t>
      </w:r>
      <w:r>
        <w:t xml:space="preserve"> </w:t>
      </w:r>
      <w:r>
        <w:t xml:space="preserve">Kỳ vọng: β₁ &gt; 0, β₂ &lt; 0.</w:t>
      </w:r>
      <w:r>
        <w:t xml:space="preserve"> </w:t>
      </w:r>
      <w:r>
        <w:t xml:space="preserve">Điểm uốn: TP₁ = −β₁/(2β₂), mức FSTS tối ưu (trên thang mean-centered).</w:t>
      </w:r>
      <w:r>
        <w:t xml:space="preserve"> </w:t>
      </w:r>
      <w:r>
        <w:t xml:space="preserve">Kiểm định bổ sung: Lind–Mehlum (2010) để xác nhận chữ U ngược thực sự.</w:t>
      </w:r>
    </w:p>
    <w:bookmarkEnd w:id="65"/>
    <w:bookmarkStart w:id="66"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6"/>
    <w:bookmarkStart w:id="67"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sang TCI là nâng mặt bằng thuần túy.</w:t>
      </w:r>
    </w:p>
    <w:bookmarkEnd w:id="67"/>
    <w:bookmarkStart w:id="68"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nguồn lực mở rộng tình huống.</w:t>
      </w:r>
      <w:r>
        <w:t xml:space="preserve"> </w:t>
      </w:r>
      <w:r>
        <w:t xml:space="preserve">Kỳ vọng: β₅(FSTS²×DAI) &gt; 0 trong Nhóm I (nhất quán P4 Singapore +3,119); β₃(DAI trực tiếp) rồi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8"/>
    <w:bookmarkStart w:id="69" w:name="Xa11d8e594967f6dc9b7fd56ec467a6a3177254d"/>
    <w:p>
      <w:pPr>
        <w:pStyle w:val="Heading5"/>
      </w:pPr>
      <w:r>
        <w:t xml:space="preserve">M5: + Điều tiết nhà quản trị (kiểm định H4a/H4b/H4c)</w:t>
      </w:r>
    </w:p>
    <w:p>
      <w:pPr>
        <w:pStyle w:val="FirstParagraph"/>
      </w:pPr>
    </w:p>
    <w:p>
      <w:pPr>
        <w:pStyle w:val="BodyText"/>
      </w:pPr>
      <w:r>
        <w:t xml:space="preserve">Biến Manager theo thứ tự ưu tiên: exp_manager (b5, H4a), biến chính với kỳ vọng β₄ &gt; 0; educ_manager (b7a, H4b), biến phụ với kỳ vọng β₄ &gt; 0; gender_manager (b7, H4c), khám phá, kiểm định two-sided.</w:t>
      </w:r>
      <w:r>
        <w:t xml:space="preserve"> </w:t>
      </w:r>
      <w:r>
        <w:t xml:space="preserve">Kỳ vọng: β₄(FSTS×exp_manager) &gt; 0 [H4a]; β₄(FSTS×educ_manager) &gt; 0 [H4b]; β₄(FSTS×gender_manager), không có kỳ vọng tiên nghiệm [H4c].</w:t>
      </w:r>
    </w:p>
    <w:bookmarkEnd w:id="69"/>
    <w:bookmarkStart w:id="70"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phổ thể chế ICRV và gánh nặng bắt buộc (Nhóm VI).</w:t>
      </w:r>
      <w:r>
        <w:t xml:space="preserve"> </w:t>
      </w:r>
      <w:r>
        <w:t xml:space="preserve">Nhóm tham chiếu: Nhóm I (tiên tiến đổi mới).</w:t>
      </w:r>
      <w:r>
        <w:t xml:space="preserve"> </w:t>
      </w:r>
      <w:r>
        <w:t xml:space="preserve">Kỳ vọng: cấu trúc ba vùng: hệ số bậc hai âm và có ý nghĩa chỉ ở Nhóm IV (và biên ý nghĩa ở Nhóm II); không ý nghĩa ở Nhóm I, III, V; Nhóm VI không có chữ U ngược; Nhóm VI có β(FSTS×ICRV_VI) ≤ 0 (neo đậu P8: FIP β = −1,339, SE 0,386, p &lt; 0,001).</w:t>
      </w:r>
      <w:r>
        <w:t xml:space="preserve"> </w:t>
      </w:r>
      <w:r>
        <w:t xml:space="preserve">Lưu ý: Country FE bị omit trong M6 do ICRV_j là biến cấp quốc gia bất biến theo thời gian, thay bằng Year FE + Region FE (6 vùng).</w:t>
      </w:r>
    </w:p>
    <w:bookmarkEnd w:id="70"/>
    <w:bookmarkStart w:id="71"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dễ dàng đáp ứng với mẫu gộp 88.869 (50 nền, gồm Nhật Bản).</w:t>
      </w:r>
    </w:p>
    <w:bookmarkEnd w:id="71"/>
    <w:bookmarkStart w:id="72"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H3a/H3b</w:t>
            </w:r>
          </w:p>
        </w:tc>
        <w:tc>
          <w:tcPr/>
          <w:p>
            <w:pPr>
              <w:pStyle w:val="Compact"/>
              <w:jc w:val="left"/>
            </w:pPr>
            <w:r>
              <w:t xml:space="preserve">H3a: β(FSTS×DAI) &gt; 0 Nhóm III–V; H3b: β(FSTS²×DAI)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2"/>
    <w:bookmarkEnd w:id="73"/>
    <w:bookmarkStart w:id="78" w:name="dữ-liệu-và-chiến-lược-nhận-dạng-nhân-quả"/>
    <w:p>
      <w:pPr>
        <w:pStyle w:val="Heading4"/>
      </w:pPr>
      <w:r>
        <w:t xml:space="preserve">2.3.6 Dữ liệu và chiến lược nhận dạng nhân quả</w:t>
      </w:r>
    </w:p>
    <w:bookmarkStart w:id="74" w:name="nguồn-dữ-liệu-và-cấu-trúc-mẫu-gộp"/>
    <w:p>
      <w:pPr>
        <w:pStyle w:val="Heading5"/>
      </w:pPr>
      <w:r>
        <w:t xml:space="preserve">Nguồn dữ liệu và cấu trúc mẫu gộp</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Mẫu gộp chuyên đề: khung 50 nền kinh tế châu Á và Thái Bình Dương (gồm Nhật Bản 2025), 88.869 doanh nghiệp, 103 cặp nền kinh tế–năm trong giai đoạn 2006–2026; mẫu hồi quy chính của vòng ước lượng chính thức: M2 N = 81.022, M5 N = 79.080.</w:t>
      </w:r>
    </w:p>
    <w:p>
      <w:pPr>
        <w:pStyle w:val="BodyText"/>
      </w:pPr>
      <w:r>
        <w:t xml:space="preserve">Bảng 2.8. Cấu trúc mẫu gộp theo nhóm ICRV và mốc khảo sát.</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ICRV Nhóm (icrv_label)</w:t>
            </w:r>
          </w:p>
        </w:tc>
        <w:tc>
          <w:tcPr/>
          <w:p>
            <w:pPr>
              <w:pStyle w:val="Compact"/>
              <w:jc w:val="left"/>
            </w:pPr>
            <w:r>
              <w:t xml:space="preserve">Nền kinh tế</w:t>
            </w:r>
          </w:p>
        </w:tc>
        <w:tc>
          <w:tcPr/>
          <w:p>
            <w:pPr>
              <w:pStyle w:val="Compact"/>
              <w:jc w:val="center"/>
            </w:pPr>
            <w:r>
              <w:t xml:space="preserve">Số nền</w:t>
            </w:r>
          </w:p>
        </w:tc>
        <w:tc>
          <w:tcPr/>
          <w:p>
            <w:pPr>
              <w:pStyle w:val="Compact"/>
              <w:jc w:val="center"/>
            </w:pPr>
            <w:r>
              <w:t xml:space="preserve">N doanh nghiệp</w:t>
            </w:r>
          </w:p>
        </w:tc>
      </w:tr>
      <w:tr>
        <w:tc>
          <w:tcPr/>
          <w:p>
            <w:pPr>
              <w:pStyle w:val="Compact"/>
              <w:jc w:val="left"/>
            </w:pPr>
            <w:r>
              <w:t xml:space="preserve">I, Adv. đổi mới (</w:t>
            </w:r>
            <w:r>
              <w:rPr>
                <w:rStyle w:val="VerbatimChar"/>
              </w:rPr>
              <w:t xml:space="preserve">Advanced_innovation</w:t>
            </w:r>
            <w:r>
              <w:t xml:space="preserve">)</w:t>
            </w:r>
          </w:p>
        </w:tc>
        <w:tc>
          <w:tcPr/>
          <w:p>
            <w:pPr>
              <w:pStyle w:val="Compact"/>
              <w:jc w:val="left"/>
            </w:pPr>
            <w:r>
              <w:t xml:space="preserve">Singapore, HongKong, Hàn Quốc, Đài Loan, Israel, Nhật Bản¹</w:t>
            </w:r>
          </w:p>
        </w:tc>
        <w:tc>
          <w:tcPr/>
          <w:p>
            <w:pPr>
              <w:pStyle w:val="Compact"/>
              <w:jc w:val="center"/>
            </w:pPr>
            <w:r>
              <w:t xml:space="preserve">6</w:t>
            </w:r>
          </w:p>
        </w:tc>
        <w:tc>
          <w:tcPr/>
          <w:p>
            <w:pPr>
              <w:pStyle w:val="Compact"/>
              <w:jc w:val="center"/>
            </w:pPr>
            <w:r>
              <w:t xml:space="preserve">6.390</w:t>
            </w:r>
          </w:p>
        </w:tc>
      </w:tr>
      <w:tr>
        <w:tc>
          <w:tcPr/>
          <w:p>
            <w:pPr>
              <w:pStyle w:val="Compact"/>
              <w:jc w:val="left"/>
            </w:pPr>
            <w:r>
              <w:t xml:space="preserve">II, Adv. tài nguyên (</w:t>
            </w:r>
            <w:r>
              <w:rPr>
                <w:rStyle w:val="VerbatimChar"/>
              </w:rPr>
              <w:t xml:space="preserve">Advanced_resource</w:t>
            </w:r>
            <w:r>
              <w:t xml:space="preserve">)</w:t>
            </w:r>
          </w:p>
        </w:tc>
        <w:tc>
          <w:tcPr/>
          <w:p>
            <w:pPr>
              <w:pStyle w:val="Compact"/>
              <w:jc w:val="left"/>
            </w:pPr>
            <w:r>
              <w:t xml:space="preserve">Saudi Arabia, Qatar, Kuwait, Bahrain, Brunei, Oman</w:t>
            </w:r>
          </w:p>
        </w:tc>
        <w:tc>
          <w:tcPr/>
          <w:p>
            <w:pPr>
              <w:pStyle w:val="Compact"/>
              <w:jc w:val="center"/>
            </w:pPr>
            <w:r>
              <w:t xml:space="preserve">6</w:t>
            </w:r>
          </w:p>
        </w:tc>
        <w:tc>
          <w:tcPr/>
          <w:p>
            <w:pPr>
              <w:pStyle w:val="Compact"/>
              <w:jc w:val="center"/>
            </w:pPr>
            <w:r>
              <w:t xml:space="preserve">2.231</w:t>
            </w:r>
          </w:p>
        </w:tc>
      </w:tr>
      <w:tr>
        <w:tc>
          <w:tcPr/>
          <w:p>
            <w:pPr>
              <w:pStyle w:val="Compact"/>
              <w:jc w:val="left"/>
            </w:pPr>
            <w:r>
              <w:t xml:space="preserve">III, Trung bình cao (</w:t>
            </w:r>
            <w:r>
              <w:rPr>
                <w:rStyle w:val="VerbatimChar"/>
              </w:rPr>
              <w:t xml:space="preserve">Upper_mid</w:t>
            </w:r>
            <w:r>
              <w:t xml:space="preserve">)</w:t>
            </w:r>
          </w:p>
        </w:tc>
        <w:tc>
          <w:tcPr/>
          <w:p>
            <w:pPr>
              <w:pStyle w:val="Compact"/>
              <w:jc w:val="left"/>
            </w:pPr>
            <w:r>
              <w:t xml:space="preserve">Trung Quốc, Malaysia, Thái Lan, Kazakhstan, Armenia, Georgia</w:t>
            </w:r>
          </w:p>
        </w:tc>
        <w:tc>
          <w:tcPr/>
          <w:p>
            <w:pPr>
              <w:pStyle w:val="Compact"/>
              <w:jc w:val="center"/>
            </w:pPr>
            <w:r>
              <w:t xml:space="preserve">6</w:t>
            </w:r>
          </w:p>
        </w:tc>
        <w:tc>
          <w:tcPr/>
          <w:p>
            <w:pPr>
              <w:pStyle w:val="Compact"/>
              <w:jc w:val="center"/>
            </w:pPr>
            <w:r>
              <w:t xml:space="preserve">13.993</w:t>
            </w:r>
          </w:p>
        </w:tc>
      </w:tr>
      <w:tr>
        <w:tc>
          <w:tcPr/>
          <w:p>
            <w:pPr>
              <w:pStyle w:val="Compact"/>
              <w:jc w:val="left"/>
            </w:pPr>
            <w:r>
              <w:t xml:space="preserve">IV, Chuyển đổi TB-thấp (</w:t>
            </w:r>
            <w:r>
              <w:rPr>
                <w:rStyle w:val="VerbatimChar"/>
              </w:rPr>
              <w:t xml:space="preserve">Lower_mid_transition</w:t>
            </w:r>
            <w:r>
              <w:t xml:space="preserve">)</w:t>
            </w:r>
          </w:p>
        </w:tc>
        <w:tc>
          <w:tcPr/>
          <w:p>
            <w:pPr>
              <w:pStyle w:val="Compact"/>
              <w:jc w:val="left"/>
            </w:pPr>
            <w:r>
              <w:t xml:space="preserve">Việt Nam, Ấn Độ, Indonesia, Philippines, Mông Cổ, Bangladesh, Pakistan</w:t>
            </w:r>
          </w:p>
        </w:tc>
        <w:tc>
          <w:tcPr/>
          <w:p>
            <w:pPr>
              <w:pStyle w:val="Compact"/>
              <w:jc w:val="center"/>
            </w:pPr>
            <w:r>
              <w:t xml:space="preserve">7</w:t>
            </w:r>
          </w:p>
        </w:tc>
        <w:tc>
          <w:tcPr/>
          <w:p>
            <w:pPr>
              <w:pStyle w:val="Compact"/>
              <w:jc w:val="center"/>
            </w:pPr>
            <w:r>
              <w:t xml:space="preserve">45.003</w:t>
            </w:r>
          </w:p>
        </w:tc>
      </w:tr>
      <w:tr>
        <w:tc>
          <w:tcPr/>
          <w:p>
            <w:pPr>
              <w:pStyle w:val="Compact"/>
              <w:jc w:val="left"/>
            </w:pPr>
            <w:r>
              <w:t xml:space="preserve">V, Đang nổi (</w:t>
            </w:r>
            <w:r>
              <w:rPr>
                <w:rStyle w:val="VerbatimChar"/>
              </w:rPr>
              <w:t xml:space="preserve">Emerging</w:t>
            </w:r>
            <w:r>
              <w:t xml:space="preserve">)</w:t>
            </w:r>
          </w:p>
        </w:tc>
        <w:tc>
          <w:tcPr/>
          <w:p>
            <w:pPr>
              <w:pStyle w:val="Compact"/>
              <w:jc w:val="left"/>
            </w:pPr>
            <w:r>
              <w:t xml:space="preserve">17 nền (gồm Sri Lanka, Jordan, Nepal, Cambodia, Laos, Uzbekistan…)</w:t>
            </w:r>
          </w:p>
        </w:tc>
        <w:tc>
          <w:tcPr/>
          <w:p>
            <w:pPr>
              <w:pStyle w:val="Compact"/>
              <w:jc w:val="center"/>
            </w:pPr>
            <w:r>
              <w:t xml:space="preserve">17</w:t>
            </w:r>
          </w:p>
        </w:tc>
        <w:tc>
          <w:tcPr/>
          <w:p>
            <w:pPr>
              <w:pStyle w:val="Compact"/>
              <w:jc w:val="center"/>
            </w:pPr>
            <w:r>
              <w:t xml:space="preserve">18.589</w:t>
            </w:r>
          </w:p>
        </w:tc>
      </w:tr>
      <w:tr>
        <w:tc>
          <w:tcPr/>
          <w:p>
            <w:pPr>
              <w:pStyle w:val="Compact"/>
              <w:jc w:val="left"/>
            </w:pPr>
            <w:r>
              <w:t xml:space="preserve">VI, SIDS (</w:t>
            </w:r>
            <w:r>
              <w:rPr>
                <w:rStyle w:val="VerbatimChar"/>
              </w:rPr>
              <w:t xml:space="preserve">SIDS_small</w:t>
            </w:r>
            <w:r>
              <w:t xml:space="preserve">)</w:t>
            </w:r>
          </w:p>
        </w:tc>
        <w:tc>
          <w:tcPr/>
          <w:p>
            <w:pPr>
              <w:pStyle w:val="Compact"/>
              <w:jc w:val="left"/>
            </w:pPr>
            <w:r>
              <w:t xml:space="preserve">Fiji, Kiribati, PNG, Samoa, Solomon, Tonga, Vanuatu, Timor-Leste</w:t>
            </w:r>
          </w:p>
        </w:tc>
        <w:tc>
          <w:tcPr/>
          <w:p>
            <w:pPr>
              <w:pStyle w:val="Compact"/>
              <w:jc w:val="center"/>
            </w:pPr>
            <w:r>
              <w:t xml:space="preserve">8</w:t>
            </w:r>
          </w:p>
        </w:tc>
        <w:tc>
          <w:tcPr/>
          <w:p>
            <w:pPr>
              <w:pStyle w:val="Compact"/>
              <w:jc w:val="center"/>
            </w:pPr>
            <w:r>
              <w:t xml:space="preserve">2.295</w:t>
            </w:r>
          </w:p>
        </w:tc>
      </w:tr>
      <w:tr>
        <w:tc>
          <w:tcPr/>
          <w:p>
            <w:pPr>
              <w:pStyle w:val="Compact"/>
              <w:jc w:val="left"/>
            </w:pPr>
            <w:r>
              <w:rPr>
                <w:bCs/>
                <w:b/>
              </w:rPr>
              <w:t xml:space="preserve">Tổng</w:t>
            </w:r>
          </w:p>
        </w:tc>
        <w:tc>
          <w:tcPr/>
          <w:p>
            <w:pPr>
              <w:pStyle w:val="Compact"/>
            </w:pPr>
          </w:p>
        </w:tc>
        <w:tc>
          <w:tcPr/>
          <w:p>
            <w:pPr>
              <w:pStyle w:val="Compact"/>
              <w:jc w:val="center"/>
            </w:pPr>
            <w:r>
              <w:rPr>
                <w:bCs/>
                <w:b/>
              </w:rPr>
              <w:t xml:space="preserve">50</w:t>
            </w:r>
          </w:p>
        </w:tc>
        <w:tc>
          <w:tcPr/>
          <w:p>
            <w:pPr>
              <w:pStyle w:val="Compact"/>
              <w:jc w:val="center"/>
            </w:pPr>
            <w:r>
              <w:rPr>
                <w:bCs/>
                <w:b/>
              </w:rPr>
              <w:t xml:space="preserve">88.869</w:t>
            </w:r>
            <w:r>
              <w:t xml:space="preserve"> </w:t>
            </w:r>
            <w:r>
              <w:t xml:space="preserve">(mẫu gộp mô tả; N hồi quy M2 = 81.022)</w:t>
            </w:r>
          </w:p>
        </w:tc>
      </w:tr>
    </w:tbl>
    <w:p>
      <w:pPr>
        <w:pStyle w:val="BodyText"/>
      </w:pPr>
      <w:r>
        <w:rPr>
          <w:iCs/>
          <w:i/>
        </w:rPr>
        <w:t xml:space="preserve">Ghi chú: ¹Nhật Bản được WBES khảo sát lần đầu năm 2025 (n=2.168) và là thành viên thứ sáu của Nhóm I trong khung 50 nền; vòng tái ước lượng 50 nền gồm Nhật Bản đã hoàn tất nên mô tả và ước lượng (P7) nay dùng chung MỘT khung 50 nền/88.869 quan sát (hồi quy M2 N=81.022; M5 N=79.080). Nhãn nhóm theo biến phân loại</w:t>
      </w:r>
      <w:r>
        <w:rPr>
          <w:iCs/>
          <w:i/>
        </w:rPr>
        <w:t xml:space="preserve"> </w:t>
      </w:r>
      <w:r>
        <w:rPr>
          <w:rStyle w:val="VerbatimChar"/>
          <w:iCs/>
          <w:i/>
        </w:rPr>
        <w:t xml:space="preserve">icrv_label</w:t>
      </w:r>
      <w:r>
        <w:rPr>
          <w:iCs/>
          <w:i/>
        </w:rPr>
        <w:t xml:space="preserve">, dùng thống nhất trong luận án và Chuyên đề 1, Nhóm IV</w:t>
      </w:r>
      <w:r>
        <w:rPr>
          <w:iCs/>
          <w:i/>
        </w:rPr>
        <w:t xml:space="preserve"> </w:t>
      </w:r>
      <w:r>
        <w:rPr>
          <w:rStyle w:val="VerbatimChar"/>
          <w:iCs/>
          <w:i/>
        </w:rPr>
        <w:t xml:space="preserve">Lower_mid_transition</w:t>
      </w:r>
      <w:r>
        <w:rPr>
          <w:iCs/>
          <w:i/>
        </w:rPr>
        <w:t xml:space="preserve"> </w:t>
      </w:r>
      <w:r>
        <w:rPr>
          <w:iCs/>
          <w:i/>
        </w:rPr>
        <w:t xml:space="preserve">(7 nền đông dân), Nhóm V</w:t>
      </w:r>
      <w:r>
        <w:rPr>
          <w:iCs/>
          <w:i/>
        </w:rPr>
        <w:t xml:space="preserve"> </w:t>
      </w:r>
      <w:r>
        <w:rPr>
          <w:rStyle w:val="VerbatimChar"/>
          <w:iCs/>
          <w:i/>
        </w:rPr>
        <w:t xml:space="preserve">Emerging</w:t>
      </w:r>
      <w:r>
        <w:rPr>
          <w:iCs/>
          <w:i/>
        </w:rPr>
        <w:t xml:space="preserve"> </w:t>
      </w:r>
      <w:r>
        <w:rPr>
          <w:iCs/>
          <w:i/>
        </w:rPr>
        <w:t xml:space="preserve">(17 nền), Nhóm VI</w:t>
      </w:r>
      <w:r>
        <w:rPr>
          <w:iCs/>
          <w:i/>
        </w:rPr>
        <w:t xml:space="preserve"> </w:t>
      </w:r>
      <w:r>
        <w:rPr>
          <w:rStyle w:val="VerbatimChar"/>
          <w:iCs/>
          <w:i/>
        </w:rPr>
        <w:t xml:space="preserve">SIDS_small</w:t>
      </w:r>
      <w:r>
        <w:rPr>
          <w:iCs/>
          <w:i/>
        </w:rPr>
        <w:t xml:space="preserve"> </w:t>
      </w:r>
      <w:r>
        <w:rPr>
          <w:iCs/>
          <w:i/>
        </w:rPr>
        <w:t xml:space="preserve">(8 nền). Nghiên cứu chuyên sâu SIDS (P8) lấy mẫu chính 7 nền Thái Bình Dương và kiểm định bền vững mở rộng 9 nền (thêm Comoros + Timor-Leste). Mẫu gộp phân loại đầy đủ = 96.415 DN/52 nền; loại 2 nền ngoài châu Á (Turkey, Cyprus) sang khung phân tích 50 nền Á–TBD (gồm Nhật Bản) = 88.869 DN.</w:t>
      </w:r>
    </w:p>
    <w:p>
      <w:pPr>
        <w:pStyle w:val="BodyText"/>
      </w:pPr>
      <w:r>
        <w:t xml:space="preserve">Ba thế hệ lược đồ WBES và giao thức hòa hợp: PICS3 (2006–2012): biến FSTS từ d3b/d3c; TCI từ h1/h8/b8; DAI từ c22b only. Standardized (2013–2017): biến tái định dạng nhưng tương thích. BREADY/BEE (2018–2025): lược đồ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quốc tế hóa và hiệu quả tại cấp doanh nghiệp (conditional on observables), không phải ước lượng thống kê mô tả đại diện tổng thể. Thứ hai, hai chiều hiệu ứng cố định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2.4.2) để xác nhận tính vững của kết quả so với mẫu không có trọng số.</w:t>
      </w:r>
    </w:p>
    <w:p>
      <w:pPr>
        <w:pStyle w:val="BodyText"/>
      </w:pPr>
      <w:r>
        <w:t xml:space="preserve">Giao thức hòa hợp bao gồm: crosswalk biến giữa ba lược đồ; xử lý giá trị thiếu; loại bỏ ngoại lệ tại phân vị 1/99 trong cụm nền kinh tế × năm; và chuẩn hóa năng suất xuyên tiền tệ (xem dưới).</w:t>
      </w:r>
    </w:p>
    <w:bookmarkEnd w:id="74"/>
    <w:bookmarkStart w:id="75"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báo cáo bằng</w:t>
      </w:r>
      <w:r>
        <w:t xml:space="preserve"> </w:t>
      </w:r>
      <w:r>
        <w:rPr>
          <w:bCs/>
          <w:b/>
        </w:rPr>
        <w:t xml:space="preserve">nội tệ</w:t>
      </w:r>
      <w:r>
        <w:t xml:space="preserve"> </w:t>
      </w:r>
      <w:r>
        <w:t xml:space="preserve">của từng nền kinh tế, nên mức</w:t>
      </w:r>
      <w:r>
        <w:t xml:space="preserve"> </w:t>
      </w:r>
      <m:oMath>
        <m:r>
          <m:rPr>
            <m:sty m:val="p"/>
          </m:rPr>
          <m:t>ln</m:t>
        </m:r>
        <m:d>
          <m:dPr>
            <m:begChr m:val="("/>
            <m:endChr m:val=")"/>
            <m:sepChr m:val=""/>
            <m:grow/>
          </m:dPr>
          <m:e>
            <m:r>
              <m:t>L</m:t>
            </m:r>
            <m:r>
              <m:t>P</m:t>
            </m:r>
          </m:e>
        </m:d>
      </m:oMath>
      <w:r>
        <w:t xml:space="preserve"> </w:t>
      </w:r>
      <w:r>
        <w:t xml:space="preserve">thô không so sánh được trực tiếp xuyên quốc gia. Để trung hòa khác biệt đơn vị tiền tệ và mặt bằng giá, năng suất lao động được</w:t>
      </w:r>
      <w:r>
        <w:t xml:space="preserve"> </w:t>
      </w:r>
      <w:r>
        <w:rPr>
          <w:bCs/>
          <w:b/>
        </w:rPr>
        <w:t xml:space="preserve">chuẩn hóa z trong từng cụm nền kinh tế × năm</w:t>
      </w:r>
      <w:r>
        <w:t xml:space="preserve"> </w:t>
      </w:r>
      <w:r>
        <w:t xml:space="preserve">trước khi đưa vào mô hình, và mọi đặc tả đều có</w:t>
      </w:r>
      <w:r>
        <w:t xml:space="preserve"> </w:t>
      </w:r>
      <w:r>
        <w:rPr>
          <w:bCs/>
          <w:b/>
        </w:rPr>
        <w:t xml:space="preserve">hiệu ứng cố định hai chiều (nền kinh tế × năm)</w:t>
      </w:r>
      <w:r>
        <w:t xml:space="preserve"> </w:t>
      </w:r>
      <w:r>
        <w:t xml:space="preserve">hấp thụ toàn bộ thành phần bất biến theo nước (tiền tệ, mặt bằng giá, chế độ kế toán). Cách này bảo đảm hệ số quan hệ quốc tế hóa và hiệu quả được nhận dạng từ biến thiên</w:t>
      </w:r>
      <w:r>
        <w:t xml:space="preserve"> </w:t>
      </w:r>
      <w:r>
        <w:rPr>
          <w:iCs/>
          <w:i/>
        </w:rPr>
        <w:t xml:space="preserve">nội bộ</w:t>
      </w:r>
      <w:r>
        <w:t xml:space="preserve"> </w:t>
      </w:r>
      <w:r>
        <w:t xml:space="preserve">nền kinh tế–năm, nhất quán với Phụ lục A của luận án (Mục A.5) và nghiên cứu đa quốc gia P7. Mọi so sánh</w:t>
      </w:r>
      <w:r>
        <w:t xml:space="preserve"> </w:t>
      </w:r>
      <w:r>
        <w:rPr>
          <w:bCs/>
          <w:b/>
        </w:rPr>
        <w:t xml:space="preserve">mức</w:t>
      </w:r>
      <w:r>
        <w:t xml:space="preserve"> </w:t>
      </w:r>
      <w:r>
        <w:t xml:space="preserve">xuyên quốc gia dùng tỷ suất không thứ nguyên (ROS) hoặc giá trị đã hiệu chỉnh sức mua tương đương (PPP), không dùng mức</w:t>
      </w:r>
      <w:r>
        <w:t xml:space="preserve"> </w:t>
      </w:r>
      <m:oMath>
        <m:r>
          <m:rPr>
            <m:sty m:val="p"/>
          </m:rPr>
          <m:t>ln</m:t>
        </m:r>
        <m:d>
          <m:dPr>
            <m:begChr m:val="("/>
            <m:endChr m:val=")"/>
            <m:sepChr m:val=""/>
            <m:grow/>
          </m:dPr>
          <m:e>
            <m:r>
              <m:t>L</m:t>
            </m:r>
            <m:r>
              <m:t>P</m:t>
            </m:r>
          </m:e>
        </m:d>
      </m:oMath>
      <w:r>
        <w:t xml:space="preserve"> </w:t>
      </w:r>
      <w:r>
        <w:t xml:space="preserve">thô. Giá trị được winsorize tại phân vị 1/99 trong cụm nền kinh tế × năm để giảm ảnh hưởng ngoại lệ. Lựa chọn năng suất lao động làm thước đo hiệu quả phù hợp với dữ liệu WBES (Combs et al., 2005; Cusolito &amp; Maloney, 2018; Richard et al., 2009).</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 + gián tiếp</m:t>
                  </m:r>
                </m:e>
                <m:sub>
                  <m:r>
                    <m:t>i</m:t>
                  </m:r>
                </m:sub>
              </m:sSub>
            </m:num>
            <m:den>
              <m:sSub>
                <m:e>
                  <m:r>
                    <m:rPr>
                      <m:nor/>
                      <m:sty m:val="p"/>
                    </m:rPr>
                    <m:t>tổng doanh thu hằng năm</m:t>
                  </m:r>
                </m:e>
                <m:sub>
                  <m:r>
                    <m:t>i</m:t>
                  </m:r>
                </m:sub>
              </m:sSub>
            </m:den>
          </m:f>
          <m:r>
            <m:rPr>
              <m:sty m:val="p"/>
            </m:rPr>
            <m:t>=</m:t>
          </m:r>
          <m:f>
            <m:fPr>
              <m:type m:val="bar"/>
            </m:fPr>
            <m:num>
              <m:r>
                <m:t>d</m:t>
              </m:r>
              <m:r>
                <m:t>3</m:t>
              </m:r>
              <m:sSub>
                <m:e>
                  <m:r>
                    <m:t>b</m:t>
                  </m:r>
                </m:e>
                <m:sub>
                  <m:r>
                    <m:t>i</m:t>
                  </m:r>
                </m:sub>
              </m:sSub>
              <m:r>
                <m:rPr>
                  <m:sty m:val="p"/>
                </m:rPr>
                <m:t>+</m:t>
              </m:r>
              <m:r>
                <m:t>d</m:t>
              </m:r>
              <m:r>
                <m:t>3</m:t>
              </m:r>
              <m:sSub>
                <m:e>
                  <m:r>
                    <m:t>c</m:t>
                  </m:r>
                </m:e>
                <m:sub>
                  <m:r>
                    <m:t>i</m:t>
                  </m:r>
                </m:sub>
              </m:sSub>
            </m:num>
            <m:den>
              <m:r>
                <m:t>100</m:t>
              </m:r>
            </m:den>
          </m:f>
        </m:oMath>
      </m:oMathPara>
    </w:p>
    <w:p>
      <w:pPr>
        <w:pStyle w:val="FirstParagraph"/>
      </w:pPr>
      <w:r>
        <w:t xml:space="preserve">d3b là tỉ lệ phần trăm doanh thu xuất khẩu gián tiếp (qua trung gian) và d3c là xuất khẩu trực tiếp, theo nhãn biến chính thức WBES; tổng hai thành phần là định nghĩa tham gia xuất khẩu chuẩn của WBES, dùng thống nhất với khung ước lượng đa quốc gia của luận án (P7). FSTS_c = FSTS − mean(FSTS) trong mỗi ô sóng-quốc gia trước khi tính FSTS². Tỷ trọng doanh thu xuất khẩu là thước đo cường độ quốc tế hóa chuẩn của tài liệu quốc tế hóa và hiệu quả (Lu &amp; Beamish, 2001; Sullivan, 1994); hai nghiên cứu thành phần đơn quốc gia (P3 Việt Nam, P5 Trung Quốc) dùng riêng d3c với luận chứng kênh xuất khẩu trực tiếp/gián tiếp (Hessels &amp; Terjesen, 2010; Peng &amp; Ilinitch, 1998).</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 Construct phản ánh chiều sâu năng lực công nghệ nội tại theo truyền thống năng lực hấp thụ và năng lực công nghệ hóa công nghiệp (Cohen &amp; Levinthal, 1990; Lall, 1992).</w:t>
      </w:r>
    </w:p>
    <w:p>
      <w:pPr>
        <w:pStyle w:val="BlockText"/>
      </w:pPr>
      <w:r>
        <w:rPr>
          <w:iCs/>
          <w:i/>
        </w:rPr>
        <w:t xml:space="preserve">Lưu ý phân biệt biến thể TCI:</w:t>
      </w:r>
      <w:r>
        <w:t xml:space="preserve"> </w:t>
      </w:r>
      <w:r>
        <w:t xml:space="preserve">Chuyên đề 2 dùng biến thể</w:t>
      </w:r>
      <w:r>
        <w:t xml:space="preserve"> </w:t>
      </w:r>
      <w:r>
        <w:rPr>
          <w:bCs/>
          <w:b/>
        </w:rPr>
        <w:t xml:space="preserve">đầy đủ 4 mục</w:t>
      </w:r>
      <w:r>
        <w:t xml:space="preserve"> </w:t>
      </w:r>
      <w:r>
        <w:t xml:space="preserve">(≥3/4 của b8, h8, h1, e6) khả dụng trên mẫu gộp mô tả; trong khi nghiên cứu đa quốc gia P7 và Mục 3.4.5.4 của luận án dùng biến thể</w:t>
      </w:r>
      <w:r>
        <w:t xml:space="preserve"> </w:t>
      </w:r>
      <w:r>
        <w:rPr>
          <w:bCs/>
          <w:b/>
        </w:rPr>
        <w:t xml:space="preserve">thin 2 mục</w:t>
      </w:r>
      <w:r>
        <w:t xml:space="preserve"> </w:t>
      </w:r>
      <w:r>
        <w:t xml:space="preserve">(b8 chứng chỉ chất lượng + e6 công nghệ nước ngoài) để tối đa hóa độ phủ trên 50 nền kinh tế. Cả hai cùng đo construct formative</w:t>
      </w:r>
      <w:r>
        <w:t xml:space="preserve"> </w:t>
      </w:r>
      <w:r>
        <w:rPr>
          <w:iCs/>
          <w:i/>
        </w:rPr>
        <w:t xml:space="preserve">năng lực công nghệ</w:t>
      </w:r>
      <w:r>
        <w:t xml:space="preserve">; khác biệt về bộ mục phản ánh ràng buộc khả dụng dữ liệu, không phải định nghĩa mâu thuẫn. Hệ số trong chuyên đề được tính từ chính bộ 4 mục này.</w:t>
      </w:r>
    </w:p>
    <w:p>
      <w:pPr>
        <w:pStyle w:val="FirstParagraph"/>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lược đồ BEE (2019 trở đi).</w:t>
      </w:r>
      <w:r>
        <w:t xml:space="preserve"> </w:t>
      </w:r>
      <w:r>
        <w:t xml:space="preserve">DAI_z_tier1 (Tier 1 only): z-mean(c22b), có xuyên tất cả lược đồ. Phân tầng đo lường số hóa theo Verhoef et al. (2021); vai trò công cụ số trong quốc tế hóa theo Banalieva &amp; Dhanaraj (2019).</w:t>
      </w:r>
    </w:p>
    <w:p>
      <w:pPr>
        <w:pStyle w:val="BodyText"/>
      </w:pPr>
      <w:r>
        <w:t xml:space="preserve">Chiến lược đo lường DAI: sử dụng DAI_z_full làm biến chính trong mẫu con BEE; DAI_z_tier1 cho so sánh xuyên lược đồ và kiểm định độ vững.</w:t>
      </w:r>
    </w:p>
    <w:bookmarkEnd w:id="75"/>
    <w:bookmarkStart w:id="76" w:name="phân-loại-icrv-6-nhóm"/>
    <w:p>
      <w:pPr>
        <w:pStyle w:val="Heading5"/>
      </w:pPr>
      <w:r>
        <w:t xml:space="preserve">Phân loại ICRV 6 nhóm</w:t>
      </w:r>
    </w:p>
    <w:p>
      <w:pPr>
        <w:pStyle w:val="FirstParagraph"/>
      </w:pPr>
      <w:r>
        <w:t xml:space="preserve">Bảng 2.11. Phân loại 50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 Nhật Bản</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 Oman</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Chuyển đổi TB-thấp (</w:t>
            </w:r>
            <w:r>
              <w:rPr>
                <w:rStyle w:val="VerbatimChar"/>
              </w:rPr>
              <w:t xml:space="preserve">Lower_mid_transition</w:t>
            </w:r>
            <w:r>
              <w:t xml:space="preserve">)</w:t>
            </w:r>
          </w:p>
        </w:tc>
        <w:tc>
          <w:tcPr/>
          <w:p>
            <w:pPr>
              <w:pStyle w:val="Compact"/>
              <w:jc w:val="left"/>
            </w:pPr>
            <w:r>
              <w:t xml:space="preserve">GNI/người 1.500–5.000 PPP; đông dân, GVC đang tăng</w:t>
            </w:r>
          </w:p>
        </w:tc>
        <w:tc>
          <w:tcPr/>
          <w:p>
            <w:pPr>
              <w:pStyle w:val="Compact"/>
              <w:jc w:val="left"/>
            </w:pPr>
            <w:r>
              <w:t xml:space="preserve">Việt Nam, Ấn Độ, Indonesia, Philippines, Mông Cổ, Bangladesh, Pakistan</w:t>
            </w:r>
          </w:p>
        </w:tc>
      </w:tr>
      <w:tr>
        <w:tc>
          <w:tcPr/>
          <w:p>
            <w:pPr>
              <w:pStyle w:val="Compact"/>
              <w:jc w:val="left"/>
            </w:pPr>
            <w:r>
              <w:t xml:space="preserve">V</w:t>
            </w:r>
          </w:p>
        </w:tc>
        <w:tc>
          <w:tcPr/>
          <w:p>
            <w:pPr>
              <w:pStyle w:val="Compact"/>
              <w:jc w:val="left"/>
            </w:pPr>
            <w:r>
              <w:t xml:space="preserve">Đang nổi (</w:t>
            </w:r>
            <w:r>
              <w:rPr>
                <w:rStyle w:val="VerbatimChar"/>
              </w:rPr>
              <w:t xml:space="preserve">Emerging</w:t>
            </w:r>
            <w:r>
              <w:t xml:space="preserve">)</w:t>
            </w:r>
          </w:p>
        </w:tc>
        <w:tc>
          <w:tcPr/>
          <w:p>
            <w:pPr>
              <w:pStyle w:val="Compact"/>
              <w:jc w:val="left"/>
            </w:pPr>
            <w:r>
              <w:t xml:space="preserve">GNI/người &lt;4.000 PPP; khoảng trống thể chế đáng kể</w:t>
            </w:r>
          </w:p>
        </w:tc>
        <w:tc>
          <w:tcPr/>
          <w:p>
            <w:pPr>
              <w:pStyle w:val="Compact"/>
              <w:jc w:val="left"/>
            </w:pPr>
            <w:r>
              <w:t xml:space="preserve">Sri Lanka, Jordan, Lào, Campuchia, Myanmar, Nepal, Bhutan, Maldives, Uzbekistan, Tajikistan, Kyrgyzstan, Turkmenistan, Afghanistan, Azerbaijan, Iraq, Lebanon, Yemen (17 nước)</w:t>
            </w:r>
          </w:p>
        </w:tc>
      </w:tr>
      <w:tr>
        <w:tc>
          <w:tcPr/>
          <w:p>
            <w:pPr>
              <w:pStyle w:val="Compact"/>
              <w:jc w:val="left"/>
            </w:pPr>
            <w:r>
              <w:t xml:space="preserve">VI</w:t>
            </w:r>
          </w:p>
        </w:tc>
        <w:tc>
          <w:tcPr/>
          <w:p>
            <w:pPr>
              <w:pStyle w:val="Compact"/>
              <w:jc w:val="left"/>
            </w:pPr>
            <w:r>
              <w:t xml:space="preserve">SIDS (</w:t>
            </w:r>
            <w:r>
              <w:rPr>
                <w:rStyle w:val="VerbatimChar"/>
              </w:rPr>
              <w:t xml:space="preserve">SIDS_small</w:t>
            </w:r>
            <w:r>
              <w:t xml:space="preserve">)</w:t>
            </w:r>
          </w:p>
        </w:tc>
        <w:tc>
          <w:tcPr/>
          <w:p>
            <w:pPr>
              <w:pStyle w:val="Compact"/>
              <w:jc w:val="left"/>
            </w:pPr>
            <w:r>
              <w:t xml:space="preserve">Đảo nhỏ; phụ thuộc cao; quốc tế hóa bắt buộc</w:t>
            </w:r>
          </w:p>
        </w:tc>
        <w:tc>
          <w:tcPr/>
          <w:p>
            <w:pPr>
              <w:pStyle w:val="Compact"/>
              <w:jc w:val="left"/>
            </w:pPr>
            <w:r>
              <w:t xml:space="preserve">Fiji, Kiribati, Papua New Guinea, Samoa, Solomon Islands, Tonga, Vanuatu, Timor-Leste (8 nền; P8 mẫu chính 7 Pacific)</w:t>
            </w:r>
          </w:p>
        </w:tc>
      </w:tr>
    </w:tbl>
    <w:p>
      <w:pPr>
        <w:pStyle w:val="BodyText"/>
      </w:pPr>
      <w:r>
        <w:t xml:space="preserve">Tổng: 6 + 6 + 6 + 7 + 17 + 8 =</w:t>
      </w:r>
      <w:r>
        <w:t xml:space="preserve"> </w:t>
      </w:r>
      <w:r>
        <w:rPr>
          <w:bCs/>
          <w:b/>
        </w:rPr>
        <w:t xml:space="preserve">50 nền kinh tế châu Á–Thái Bình Dương</w:t>
      </w:r>
      <w:r>
        <w:t xml:space="preserve"> </w:t>
      </w:r>
      <w:r>
        <w:t xml:space="preserve">(gồm Nhật Bản; căn theo nhãn</w:t>
      </w:r>
      <w:r>
        <w:t xml:space="preserve"> </w:t>
      </w:r>
      <w:r>
        <w:rPr>
          <w:rStyle w:val="VerbatimChar"/>
        </w:rPr>
        <w:t xml:space="preserve">icrv_label</w:t>
      </w:r>
      <w:r>
        <w:t xml:space="preserve"> </w:t>
      </w:r>
      <w:r>
        <w:t xml:space="preserve">dữ liệu P7).</w:t>
      </w:r>
      <w:r>
        <w:t xml:space="preserve"> </w:t>
      </w:r>
      <w:r>
        <w:rPr>
          <w:iCs/>
          <w:i/>
        </w:rPr>
        <w:t xml:space="preserve">(Mẫu gộp phân loại đầy đủ 52 nền/96.415 DN gồm thêm Turkey, Cyprus ngoài châu Á, loại khỏi khung 50. P8 mẫu chính 7 nền Pacific; độ vững 9 nền gồm Comoros + Timor-Leste.)</w:t>
      </w:r>
    </w:p>
    <w:p>
      <w:pPr>
        <w:pStyle w:val="BodyText"/>
      </w:pPr>
      <w:r>
        <w:t xml:space="preserve">Phân loại dựa trên GNI/người PPP (trung bình 2020–2024, World Bank), Chỉ số Đổi mới Sáng tạo Toàn cầu (WIPO GII), và tỉ trọng doanh thu tài nguyên (IMF Fiscal Monitor). Tất cả 50 nền kinh tế không thay đổi nhóm ICRV trong giai đoạn 2009–2025 (ngưỡng kiểm tra: chuyển nhóm nếu GNI/người vượt ngưỡng ±15% trong ≥3 năm liên tiếp, không có trường hợp nào).</w:t>
      </w:r>
    </w:p>
    <w:bookmarkEnd w:id="76"/>
    <w:bookmarkStart w:id="77" w:name="chiến-lược-nhận-dạng-nhân-quả"/>
    <w:p>
      <w:pPr>
        <w:pStyle w:val="Heading5"/>
      </w:pPr>
      <w:r>
        <w:t xml:space="preserve">Chiến lược nhận dạng nhân quả</w:t>
      </w:r>
    </w:p>
    <w:p>
      <w:pPr>
        <w:pStyle w:val="FirstParagraph"/>
      </w:pPr>
      <w:r>
        <w:t xml:space="preserve">Tầng 1, OLS với SE robust và hiệu ứng cố định (tất cả mô hình M0–M7): HC1 SE (chuẩn), điều chỉnh không đồng nhất phương sai cấp doanh nghiệp; two-way hiệu ứng cố định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sang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sang bằng chứng xác nhận không phụ thuộc giả định phân phối.</w:t>
      </w:r>
    </w:p>
    <w:p>
      <w:pPr>
        <w:pStyle w:val="BodyText"/>
      </w:pPr>
      <w:r>
        <w:t xml:space="preserve">Tầng 4, Nhân rộng mẫu con: Mẫu gộp đủ lớn (88.869 / 50 nền, gồm Nhật Bản) cho phép chạy M0–M7 riêng cho từng nhóm ICRV (Nhóm I: 6.390; Nhóm IV: 45.003) để kiểm định tính không đồng nhất.</w:t>
      </w:r>
    </w:p>
    <w:bookmarkEnd w:id="77"/>
    <w:bookmarkEnd w:id="78"/>
    <w:bookmarkStart w:id="79"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sang ROS; (b) Biến độc lập sang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cho kết quả không tìm thấy phi tuyến; (b) Thay TCI bằng nhiễu cho kết quả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p>
      <w:pPr>
        <w:pStyle w:val="BodyText"/>
      </w:pPr>
      <w:r>
        <w:rPr>
          <w:bCs/>
          <w:b/>
        </w:rPr>
        <w:t xml:space="preserve">Cập nhật kết quả thực hiện (khung 50 nền P7).</w:t>
      </w:r>
      <w:r>
        <w:t xml:space="preserve"> </w:t>
      </w:r>
      <w:r>
        <w:t xml:space="preserve">Bốn nhóm kiểm định cốt lõi của kế hoạch trên đã được thực hiện trên khung ước lượng 50 nền của luận án, tái lập đúng đặc tả canonical (M2: điểm uốn 51,5%,</w:t>
      </w:r>
      <w:r>
        <w:t xml:space="preserve"> </w:t>
      </w:r>
      <m:oMath>
        <m:sSub>
          <m:e>
            <m:r>
              <m:t>β</m:t>
            </m:r>
          </m:e>
          <m:sub>
            <m:r>
              <m:t>2</m:t>
            </m:r>
          </m:sub>
        </m:sSub>
        <m:r>
          <m:rPr>
            <m:sty m:val="p"/>
          </m:rPr>
          <m:t>=</m:t>
        </m:r>
        <m:r>
          <m:rPr>
            <m:sty m:val="p"/>
          </m:rPr>
          <m:t>−</m:t>
        </m:r>
        <m:r>
          <m:t>1</m:t>
        </m:r>
        <m:r>
          <m:rPr>
            <m:sty m:val="p"/>
          </m:rPr>
          <m:t>,</m:t>
        </m:r>
        <m:r>
          <m:t>399</m:t>
        </m:r>
      </m:oMath>
      <w:r>
        <w:t xml:space="preserve">,</w:t>
      </w:r>
      <w:r>
        <w:t xml:space="preserve"> </w:t>
      </w:r>
      <m:oMath>
        <m:r>
          <m:t>p</m:t>
        </m:r>
        <m:r>
          <m:rPr>
            <m:sty m:val="p"/>
          </m:rPr>
          <m:t>&lt;</m:t>
        </m:r>
        <m:r>
          <m:rPr>
            <m:sty m:val="p"/>
          </m:rPr>
          <m:t>,</m:t>
        </m:r>
        <m:r>
          <m:t>001</m:t>
        </m:r>
      </m:oMath>
      <w:r>
        <w:t xml:space="preserve">).</w:t>
      </w:r>
      <w:r>
        <w:t xml:space="preserve"> </w:t>
      </w:r>
      <w:r>
        <w:rPr>
          <w:iCs/>
          <w:i/>
        </w:rPr>
        <w:t xml:space="preserve">Về suy luận cụm nhỏ (R3):</w:t>
      </w:r>
      <w:r>
        <w:t xml:space="preserve"> </w:t>
      </w:r>
      <w:r>
        <w:t xml:space="preserve">bootstrap cụm hoang dã (wild-cluster, Cameron–Gelbach–Miller, B = 9.999, cụm theo nền kinh tế) cho thấy độ cong theo từng nhóm ICRV nhạy cảm với số cụm; độ cong vùng chuyển đổi (Nhóm IV) nới từ</w:t>
      </w:r>
      <w:r>
        <w:t xml:space="preserve"> </w:t>
      </w:r>
      <m:oMath>
        <m:r>
          <m:t>p</m:t>
        </m:r>
        <m:r>
          <m:rPr>
            <m:sty m:val="p"/>
          </m:rPr>
          <m:t>=</m:t>
        </m:r>
        <m:r>
          <m:t>0</m:t>
        </m:r>
        <m:r>
          <m:rPr>
            <m:sty m:val="p"/>
          </m:rPr>
          <m:t>,</m:t>
        </m:r>
        <m:r>
          <m:t>001</m:t>
        </m:r>
      </m:oMath>
      <w:r>
        <w:t xml:space="preserve"> </w:t>
      </w:r>
      <w:r>
        <w:t xml:space="preserve">(CRV1) lên</w:t>
      </w:r>
      <w:r>
        <w:t xml:space="preserve"> </w:t>
      </w:r>
      <m:oMath>
        <m:r>
          <m:rPr>
            <m:sty m:val="p"/>
          </m:rPr>
          <m:t>≈</m:t>
        </m:r>
        <m:r>
          <m:t>0</m:t>
        </m:r>
        <m:r>
          <m:rPr>
            <m:sty m:val="p"/>
          </m:rPr>
          <m:t>,</m:t>
        </m:r>
        <m:r>
          <m:t>10</m:t>
        </m:r>
      </m:oMath>
      <w:r>
        <w:t xml:space="preserve">, xác nhận suy luận phi tuyến hình thức được neo ở cấp gộp (49 cụm) và phân tích tổng hợp P6, còn các điểm uốn theo nhóm được đọc như một phổ mô tả chứ không phải kiểm định độc lập đủ công suất.</w:t>
      </w:r>
      <w:r>
        <w:t xml:space="preserve"> </w:t>
      </w:r>
      <w:r>
        <w:rPr>
          <w:iCs/>
          <w:i/>
        </w:rPr>
        <w:t xml:space="preserve">Về tự do lựa chọn của nhà nghiên cứu (R6):</w:t>
      </w:r>
      <w:r>
        <w:t xml:space="preserve"> </w:t>
      </w:r>
      <w:r>
        <w:t xml:space="preserve">hiệu chỉnh đa kiểm định Holm/Bonferroni cho cả họ bốn tương tác TCI/DAI giữ nguyên không có ý nghĩa, nên kết luận năng lực là yếu tố nâng mặt bằng không phải âm tính giả do kiểm định lặp.</w:t>
      </w:r>
      <w:r>
        <w:t xml:space="preserve"> </w:t>
      </w:r>
      <w:r>
        <w:rPr>
          <w:iCs/>
          <w:i/>
        </w:rPr>
        <w:t xml:space="preserve">Về bất biến đo lường (R1):</w:t>
      </w:r>
      <w:r>
        <w:t xml:space="preserve"> </w:t>
      </w:r>
      <w:r>
        <w:t xml:space="preserve">các mục lõi TCI và DAI hiện diện khoảng</w:t>
      </w:r>
      <w:r>
        <w:t xml:space="preserve"> </w:t>
      </w:r>
      <m:oMath>
        <m:r>
          <m:t>99</m:t>
        </m:r>
        <m:r>
          <m:rPr>
            <m:sty m:val="p"/>
          </m:rPr>
          <m:t>%</m:t>
        </m:r>
      </m:oMath>
      <w:r>
        <w:t xml:space="preserve"> </w:t>
      </w:r>
      <w:r>
        <w:t xml:space="preserve">ở cả ba thế hệ lược đồ và trung bình DAI tăng đơn điệu (</w:t>
      </w:r>
      <m:oMath>
        <m:r>
          <m:t>0</m:t>
        </m:r>
        <m:r>
          <m:rPr>
            <m:sty m:val="p"/>
          </m:rPr>
          <m:t>,</m:t>
        </m:r>
        <m:r>
          <m:t>30</m:t>
        </m:r>
        <m:r>
          <m:rPr>
            <m:sty m:val="p"/>
          </m:rPr>
          <m:t>→</m:t>
        </m:r>
        <m:r>
          <m:t>0</m:t>
        </m:r>
        <m:r>
          <m:rPr>
            <m:sty m:val="p"/>
          </m:rPr>
          <m:t>,</m:t>
        </m:r>
        <m:r>
          <m:t>46</m:t>
        </m:r>
        <m:r>
          <m:rPr>
            <m:sty m:val="p"/>
          </m:rPr>
          <m:t>→</m:t>
        </m:r>
        <m:r>
          <m:t>0</m:t>
        </m:r>
        <m:r>
          <m:rPr>
            <m:sty m:val="p"/>
          </m:rPr>
          <m:t>,</m:t>
        </m:r>
        <m:r>
          <m:t>53</m:t>
        </m:r>
      </m:oMath>
      <w:r>
        <w:t xml:space="preserve">) phản ánh khuếch tán số thực chất, nên so sánh chéo đợt là có cơ sở.</w:t>
      </w:r>
      <w:r>
        <w:t xml:space="preserve"> </w:t>
      </w:r>
      <w:r>
        <w:rPr>
          <w:iCs/>
          <w:i/>
        </w:rPr>
        <w:t xml:space="preserve">Về nội sinh chọn lọc (R4):</w:t>
      </w:r>
      <w:r>
        <w:t xml:space="preserve"> </w:t>
      </w:r>
      <w:r>
        <w:t xml:space="preserve">thêm tỷ số Mills nghịch đảo từ probit tham gia xuất khẩu giữ nguyên độ cong chữ U ngược và điểm uốn (</w:t>
      </w:r>
      <m:oMath>
        <m:r>
          <m:t>43</m:t>
        </m:r>
        <m:r>
          <m:rPr>
            <m:sty m:val="p"/>
          </m:rPr>
          <m:t>,</m:t>
        </m:r>
        <m:r>
          <m:t>6</m:t>
        </m:r>
        <m:r>
          <m:rPr>
            <m:sty m:val="p"/>
          </m:rPr>
          <m:t>%</m:t>
        </m:r>
        <m:r>
          <m:rPr>
            <m:sty m:val="p"/>
          </m:rPr>
          <m:t>→</m:t>
        </m:r>
        <m:r>
          <m:t>43</m:t>
        </m:r>
        <m:r>
          <m:rPr>
            <m:sty m:val="p"/>
          </m:rPr>
          <m:t>,</m:t>
        </m:r>
        <m:r>
          <m:t>5</m:t>
        </m:r>
        <m:r>
          <m:rPr>
            <m:sty m:val="p"/>
          </m:rPr>
          <m:t>%</m:t>
        </m:r>
      </m:oMath>
      <w:r>
        <w:t xml:space="preserve">) với tỷ số Mills không có ý nghĩa (</w:t>
      </w:r>
      <m:oMath>
        <m:r>
          <m:t>p</m:t>
        </m:r>
        <m:r>
          <m:rPr>
            <m:sty m:val="p"/>
          </m:rPr>
          <m:t>=</m:t>
        </m:r>
        <m:r>
          <m:rPr>
            <m:sty m:val="p"/>
          </m:rPr>
          <m:t>,</m:t>
        </m:r>
        <m:r>
          <m:t>317</m:t>
        </m:r>
      </m:oMath>
      <w:r>
        <w:t xml:space="preserve">), cho thấy không có thiên lệch tự chọn lọc kiểu Melitz trong độ cong. Chi tiết phương pháp và số liệu ở</w:t>
      </w:r>
      <w:r>
        <w:t xml:space="preserve"> </w:t>
      </w:r>
      <w:r>
        <w:rPr>
          <w:rStyle w:val="VerbatimChar"/>
        </w:rPr>
        <w:t xml:space="preserve">data_wbes/analysis/p7_robustness_suite_2026-06.md</w:t>
      </w:r>
      <w:r>
        <w:t xml:space="preserve">.</w:t>
      </w:r>
    </w:p>
    <w:bookmarkEnd w:id="79"/>
    <w:bookmarkStart w:id="83" w:name="Xa7a3e024942ac139f282b38617464477c22cff4"/>
    <w:p>
      <w:pPr>
        <w:pStyle w:val="Heading4"/>
      </w:pPr>
      <w:r>
        <w:t xml:space="preserve">2.3.8 Thảo luận: đóng góp lý thuyết và thực tiễn</w:t>
      </w:r>
    </w:p>
    <w:bookmarkStart w:id="80" w:name="đóng-góp-lý-thuyết"/>
    <w:p>
      <w:pPr>
        <w:pStyle w:val="Heading5"/>
      </w:pPr>
      <w:r>
        <w:t xml:space="preserve">Đóng góp lý thuyết</w:t>
      </w:r>
    </w:p>
    <w:p>
      <w:pPr>
        <w:pStyle w:val="FirstParagraph"/>
      </w:pPr>
      <w:r>
        <w:t xml:space="preserve">Đóng góp 1: Khung tích hợp 4 tầng + Khung chấp nhận số nền tảng cho châu Á. Không có khung tương đương trong tài liệu IB cho khu vực 50 nền kinh tế (gồm Nhật Bản) bao gồm cả quốc đảo nhỏ Thái Bình Dương. Khung tích hợp Uppsala + lý thuyết dựa trên nguồn lực + lý thuyết thể chế + lý thuyết thượng tầng quản trị + Khung chấp nhận số nền tảng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tài liệu.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quốc tế hóa và hiệu quả khác nhau do nguồn lực dẫn dắt khác nhau.</w:t>
      </w:r>
    </w:p>
    <w:p>
      <w:pPr>
        <w:pStyle w:val="BodyText"/>
      </w:pPr>
      <w:r>
        <w:t xml:space="preserve">Đóng góp 4: Giả thuyết gánh nặng bắt buộc trong khung quốc tế hóa và hiệu quả. Dạng hàm forced penalty (SIDS Nhóm VI) được tích hợp vào H5 như trường hợp cực đoan của phổ thể chế, SIDS không có chữ U ngược điển hình do quốc tế hóa bắt buộc (Briguglio, 1995); nghiên cứu chuyên sâu SIDS (P8) ước lượng điểm FIP β = −1,339 (SE 0,386; p &lt; 0,001), quan hệ âm đơn điệu không có điểm uốn. Tích hợp này mở rộng tài liệu quốc tế hóa và hiệu quả từ châu Á lục địa sang các quốc đảo nhỏ Thái Bình Dương.</w:t>
      </w:r>
    </w:p>
    <w:bookmarkEnd w:id="80"/>
    <w:bookmarkStart w:id="81"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tài liệu châu Á kiểm định đồng thời I×TCI×DAI điều tiết ba chiều kết hợp với tính không đồng nhất thời gian, cho phép kiểm tra xem TCI và DAI là bổ sung hay thay thế trong điều tiết quốc tế hóa và hiệu quả.</w:t>
      </w:r>
    </w:p>
    <w:p>
      <w:pPr>
        <w:pStyle w:val="BodyText"/>
      </w:pPr>
      <w:r>
        <w:t xml:space="preserve">Đóng góp 6: Mẫu gộp 88.869 doanh nghiệp (50 nền, gồm Nhật Bản), rộng nhất cho nghiên cứu quốc tế hóa và hiệu quả châu Á. Ba thế hệ lược đồ WBES được hòa hợp qua giao thức chi tiết. Mẫu gộp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hiệu ứng cố định,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tài liệu quốc tế hóa và hiệu quả cho châu Á. Bằng chứng từ P3 Việt Nam và P5 Trung Quốc neo đậu kỳ vọng thực nghiệm.</w:t>
      </w:r>
    </w:p>
    <w:bookmarkEnd w:id="81"/>
    <w:bookmarkStart w:id="82"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2"/>
    <w:bookmarkEnd w:id="83"/>
    <w:bookmarkEnd w:id="84"/>
    <w:bookmarkStart w:id="88" w:name="kết-luận-và-đề-xuất"/>
    <w:p>
      <w:pPr>
        <w:pStyle w:val="Heading3"/>
      </w:pPr>
      <w:r>
        <w:t xml:space="preserve">2.4 Kết luận và đề xuất</w:t>
      </w:r>
    </w:p>
    <w:bookmarkStart w:id="85"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lý thuyết dựa trên nguồn lực, lý thuyết thể chế, lý thuyết thượng tầng quản trị, Khung chấp nhận số nền tảng, vào tám mô hình thực nghiệm M0–M7 có thể kiểm định trên mẫu gộp 88.869 doanh nghiệp WBES xuyên 50 nền kinh tế (gồm Nhật Bản) và 104 cặp quốc gia-năm. Hệ giả thuyết H1–H6 được phát triển có neo đậu thực nghiệm từ ba bản thảo đồng hành (P3 Việt Nam, P4 Singapore, P5 Trung Quốc), xác nhận tính khả nghiệm của khung đề xuất trước khi áp dụng cho toàn mẫu gộp.</w:t>
      </w:r>
    </w:p>
    <w:p>
      <w:pPr>
        <w:pStyle w:val="BodyText"/>
      </w:pPr>
      <w:r>
        <w:t xml:space="preserve">Kết quả dự kiến từ bằng chứng neo đậu: H1 (phi tuyến) xác nhận chữ U ngược ở hầu hết nhóm ICRV với phổ điểm uốn từ Nhóm I đến Nhóm VI; H2 (TCI nâng mặt bằng) TCI dương bền vững và nhân quả; H3a (DAI Emerging/Frontier) khám phá; H3b (DAI Advanced) β(FSTS²×DAI) dương trong Nhóm I (P4 xác nhận), null/phụ thuộc chọn lựa trong Nhóm IV (P3 IV null); H4a (Kinh nghiệm QL) exp_manager×FSTS dương; H4b (Học vấn QL) educ_manager×FSTS dương; H4c (Giới tính) exploratory; H5 (ICRV phổ thể chế) điểm uốn phổ thể chế từ Nhóm I đến VI, Nhóm VI gánh nặng bắt buộc; H6 (Thời gian) DAI dịch chuyển 2009 xuống 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5"/>
    <w:bookmarkStart w:id="86" w:name="hạn-chế-nghiên-cứu"/>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Tầng 1–2 (website và e-payment) do hạn chế lược đồ WBES. Không thể kết luận về vai trò của năng lực số Tầng 3–4, tích hợp ERP, triển khai AI, quản trị dữ liệu xuyên biên giới, đối với mối quan hệ quốc tế hóa và hiệu quả. Kết luận H3 chỉ hợp lệ trong ranh giới đo lường Tầng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lý thuyết thượng tầng quản trị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Tầng 3–4 từ báo cáo thường niên doanh nghiệp niêm yết. Khi lược đồ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quốc tế hóa và hiệu quả: Angrist &amp; Pischke (2009); Oster (2019) về δ-stability bounds; Wolfolds &amp; Siegel (2019) về điều kiện hợp lệ của Heckman. Về tổng hợp bằng chứng xuyên bối cảnh: Sutton &amp; Higgins (2008), panel phân tích tổng hợp; Borenstein et al. (2021), Bayesian hồi quy phân tích tổng hợp với thông tin tiền nghiệm. Về mở rộng bậc số hóa: Verhoef et al. (2021), phân cấp Tầng 1–4. Về mở rộng quốc tế hóa đa chiều: Contractor et al. (2003); Sullivan (1994) về DOI chỉ số hợp thành.</w:t>
      </w:r>
    </w:p>
    <w:p>
      <w:r>
        <w:pict>
          <v:rect style="width:0;height:1.5pt" o:hralign="center" o:hrstd="t" o:hr="t"/>
        </w:pict>
      </w:r>
    </w:p>
    <w:bookmarkEnd w:id="86"/>
    <w:bookmarkStart w:id="87" w:name="hướng-nghiên-cứu-tiếp-theo"/>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P6: Tổng quan định lượng ba tầng (three-level MARA, IBR đang phản biện):</w:t>
      </w:r>
      <w:r>
        <w:t xml:space="preserve"> </w:t>
      </w:r>
      <w:r>
        <w:t xml:space="preserve">Bản thảo P6 đã hoàn thành, mở rộng ICBEF 2025 cơ sở (Đỗ &amp; Phan, 2024, k=113) lên</w:t>
      </w:r>
      <w:r>
        <w:t xml:space="preserve"> </w:t>
      </w:r>
      <w:r>
        <w:rPr>
          <w:bCs/>
          <w:b/>
        </w:rPr>
        <w:t xml:space="preserve">k=238</w:t>
      </w:r>
      <w:r>
        <w:t xml:space="preserve"> </w:t>
      </w:r>
      <w:r>
        <w:t xml:space="preserve">(K=288 effect sizes, 50 nền kinh tế) với hệ thống tìm kiếm PRISMA 2020 trên Web of Science + Scopus (1977–2026). Ba biến điều tiết mới: (i) cDAI, mức độ số hóa cấp quốc gia; (ii) ICRV 6 nhóm; (iii) DPL giai đoạn. Kết quả MARA xác nhận: gộp</w:t>
      </w:r>
      <w:r>
        <w:t xml:space="preserve"> </w:t>
      </w:r>
      <w:r>
        <w:rPr>
          <w:iCs/>
          <w:i/>
        </w:rPr>
        <w:t xml:space="preserve">r</w:t>
      </w:r>
      <w:r>
        <w:t xml:space="preserve">=0,074 (CI [0,060; 0,088]), I²=62,4%; ICRV Q_M=17,35 (p=.002), H1 điều tiết thể chế được hỗ trợ; cDAI và DPL không có ý nghĩa (H2, H3 không được hỗ trợ). Phát hiện chính: lệch lạc công bố xác nhận qua Begg–Mazumdar τ=−0,134 (p=.0007), cắt và điền k=58 imputed,</w:t>
      </w:r>
      <w:r>
        <w:t xml:space="preserve"> </w:t>
      </w:r>
      <w:r>
        <w:rPr>
          <w:iCs/>
          <w:i/>
        </w:rPr>
        <w:t xml:space="preserve">r</w:t>
      </w:r>
      <w:r>
        <w:t xml:space="preserve">_adj=0,035, gộp effect thực tế thấp hơn khoảng 50% so với ước lượng thô. Đóng góp của P6 trong khuôn khổ CD2: xác nhận phổ thể chế ICRV tổng thể (Q_M có ý nghĩa) nhưng không đủ k ở mỗi nhóm để xác nhận đường phổ thể chế đơn điệu E1a/E1b.</w:t>
      </w:r>
    </w:p>
    <w:p>
      <w:pPr>
        <w:pStyle w:val="BodyText"/>
      </w:pPr>
      <w:r>
        <w:rPr>
          <w:bCs/>
          <w:b/>
        </w:rPr>
        <w:t xml:space="preserve">Hướng 2, P7: Kiểm định H1–H6 toàn mẫu gộp 50 nền kinh tế (mục tiêu JIBS):</w:t>
      </w:r>
      <w:r>
        <w:t xml:space="preserve"> </w:t>
      </w:r>
      <w:r>
        <w:t xml:space="preserve">P7 đã ước lượng trên N=81.022 doanh nghiệp, 50 nền kinh tế châu Á và Thái Bình Dương, 103 cặp nền kinh tế và năm, 6 nhóm ICRV. Kết quả xác nhận: H1 (phi tuyến) điểm uốn M5 = 43,6% (Lind–Mehlum p&lt;,001); H2 TCI hiệu ứng mức +0,141 (p&lt;,001); H3 DAI hiệu ứng mức +0,201 (p&lt;,001), tương tác độ cong cùng chiều nhưng không ý nghĩa; H5 ba vùng thể chế, chữ U ngược</w:t>
      </w:r>
      <w:r>
        <w:t xml:space="preserve"> </w:t>
      </w:r>
      <w:r>
        <w:rPr>
          <w:bCs/>
          <w:b/>
        </w:rPr>
        <w:t xml:space="preserve">rõ</w:t>
      </w:r>
      <w:r>
        <w:t xml:space="preserve"> </w:t>
      </w:r>
      <w:r>
        <w:t xml:space="preserve">từ SIDS/Frontier (~55%) xuống tiên tiến đổi mới (~28%); DAI×ICRV p=.012 (digital shield strongest khi thể chế yếu). P3 (Nhóm IV), P4 (Nhóm I), P5 (Nhóm III) cung cấp neo đậu cross-context đã được xác nhận bởi gộp 50-economy results (gồm Nhật Bản).</w:t>
      </w:r>
    </w:p>
    <w:p>
      <w:pPr>
        <w:pStyle w:val="BodyText"/>
      </w:pPr>
      <w:r>
        <w:rPr>
          <w:bCs/>
          <w:b/>
        </w:rPr>
        <w:t xml:space="preserve">Hướng 3, P8: SIDS Thái Bình Dương, gánh nặng bắt buộc (World Development, đang phản biện vòng hai):</w:t>
      </w:r>
      <w:r>
        <w:t xml:space="preserve"> </w:t>
      </w:r>
      <w:r>
        <w:t xml:space="preserve">P8 đã hoàn thành,</w:t>
      </w:r>
      <w:r>
        <w:t xml:space="preserve"> </w:t>
      </w:r>
      <w:r>
        <w:rPr>
          <w:bCs/>
          <w:b/>
        </w:rPr>
        <w:t xml:space="preserve">mẫu chính 7 nền Pacific SIDS (N=209 complete-case; mẫu gộp 1.371), β(FSTS_c)=−1,339</w:t>
      </w:r>
      <w:r>
        <w:t xml:space="preserve"> </w:t>
      </w:r>
      <w:r>
        <w:t xml:space="preserve">(p&lt;.001); kiểm định độ vững mở rộng 9 nền (thêm Comoros + Timor-Leste, N≈1.469, β≈−0,4), minh họa cho gánh nặng quốc tế hóa cưỡng bức như trường hợp giới hạn lý thuyết (trên mẫu đầy đủ 7 nền, dạng chữ U ngược mất cấu trúc; hệ số âm mạnh chỉ ở bản dựng hạn chế ba cụm), nhất quán với giả thuyết gánh nặng bắt buộc (Briguglio, 1995; Bertram, 2006). Khoảng trống H1b trong CD2 đã được lấp đầy bởi P8.</w:t>
      </w:r>
    </w:p>
    <w:p>
      <w:pPr>
        <w:pStyle w:val="BodyText"/>
      </w:pPr>
      <w:r>
        <w:rPr>
          <w:bCs/>
          <w:b/>
        </w:rPr>
        <w:t xml:space="preserve">Hướng 4, CDCM Tier 3–4 extension (MIS Quarterly hoặc Information Systems Research):</w:t>
      </w:r>
      <w:r>
        <w:t xml:space="preserve"> </w:t>
      </w:r>
      <w:r>
        <w:t xml:space="preserve">Khi lược đồ B-READY (World Bank, 2023–2027) và WBES mới bổ sung thêm mô-đun AI, ERP, và quản trị dữ liệu, CDCM có thể được kiểm định đầy đủ bốn tầng Verhoef et al. (2021). Câu hỏi lý thuyết: liệu DAI Tầng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TCI sang năng suất và DAI sang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7"/>
    <w:bookmarkEnd w:id="88"/>
    <w:bookmarkEnd w:id="89"/>
    <w:bookmarkStart w:id="90"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Buckley, P. J., &amp; Casson, M. C. (1976).</w:t>
      </w:r>
      <w:r>
        <w:t xml:space="preserve"> </w:t>
      </w:r>
      <w:r>
        <w:rPr>
          <w:iCs/>
          <w:i/>
        </w:rPr>
        <w:t xml:space="preserve">The future of the multinational enterprise</w:t>
      </w:r>
      <w:r>
        <w:t xml:space="preserve">. Macmillan.</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Caves, R. E. (1971). International corporations: The industrial economics of foreign investment.</w:t>
      </w:r>
      <w:r>
        <w:t xml:space="preserve"> </w:t>
      </w:r>
      <w:r>
        <w:rPr>
          <w:iCs/>
          <w:i/>
        </w:rPr>
        <w:t xml:space="preserve">Economica, 38</w:t>
      </w:r>
      <w:r>
        <w:t xml:space="preserve">(149), 1–27.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Cronbach, L. J. (1951). Coefficient alpha and the internal structure of tests.</w:t>
      </w:r>
      <w:r>
        <w:t xml:space="preserve"> </w:t>
      </w:r>
      <w:r>
        <w:rPr>
          <w:iCs/>
          <w:i/>
        </w:rPr>
        <w:t xml:space="preserve">Psychometrika, 16</w:t>
      </w:r>
      <w:r>
        <w:t xml:space="preserve">(3), 297–334. https://doi.org/10.1007/BF02310555</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https://doi.org/10.1596/978-1-4648-1334-4</w:t>
      </w:r>
    </w:p>
    <w:p>
      <w:pPr>
        <w:pStyle w:val="BodyText"/>
      </w:pPr>
      <w:r>
        <w:t xml:space="preserve">Đỗ, T. H., &amp; Phan, A. T. (2026a).</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[Bản thảo đang phản biện].</w:t>
      </w:r>
      <w:r>
        <w:t xml:space="preserve"> </w:t>
      </w:r>
      <w:r>
        <w:rPr>
          <w:iCs/>
          <w:i/>
        </w:rPr>
        <w:t xml:space="preserve">Journal of Asia Business Studies</w:t>
      </w:r>
      <w:r>
        <w:t xml:space="preserve">. [P3, Việt Nam]</w:t>
      </w:r>
    </w:p>
    <w:p>
      <w:pPr>
        <w:pStyle w:val="BodyText"/>
      </w:pPr>
      <w:r>
        <w:t xml:space="preserve">Đỗ, T. H., &amp; Phan, A. T. (2026b).</w:t>
      </w:r>
      <w:r>
        <w:t xml:space="preserve"> </w:t>
      </w:r>
      <w:r>
        <w:rPr>
          <w:iCs/>
          <w:i/>
        </w:rPr>
        <w:t xml:space="preserve">Technological capability, digital adoption, and internationalization performance in China: Evidence from two WBES waves</w:t>
      </w:r>
      <w:r>
        <w:t xml:space="preserve"> </w:t>
      </w:r>
      <w:r>
        <w:t xml:space="preserve">[Bản thảo đang phản biện].</w:t>
      </w:r>
      <w:r>
        <w:t xml:space="preserve"> </w:t>
      </w:r>
      <w:r>
        <w:rPr>
          <w:iCs/>
          <w:i/>
        </w:rPr>
        <w:t xml:space="preserve">International Journal of Emerging Markets</w:t>
      </w:r>
      <w:r>
        <w:t xml:space="preserve">. [P5, Trung Quốc]</w:t>
      </w:r>
    </w:p>
    <w:p>
      <w:pPr>
        <w:pStyle w:val="BodyText"/>
      </w:pPr>
      <w:r>
        <w:t xml:space="preserve">Đỗ, T. H., &amp; Phan, A. T. (2026c).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Dubin, R. (1978).</w:t>
      </w:r>
      <w:r>
        <w:t xml:space="preserve"> </w:t>
      </w:r>
      <w:r>
        <w:rPr>
          <w:iCs/>
          <w:i/>
        </w:rPr>
        <w:t xml:space="preserve">Theory building</w:t>
      </w:r>
      <w:r>
        <w:t xml:space="preserve"> </w:t>
      </w:r>
      <w:r>
        <w:t xml:space="preserve">(Rev. ed.). Free Press.</w:t>
      </w:r>
    </w:p>
    <w:p>
      <w:pPr>
        <w:pStyle w:val="BodyText"/>
      </w:pPr>
      <w:r>
        <w:t xml:space="preserve">Dunning, J. H. (1988). The eclectic paradigm of international production: A restatement and some possible extensions.</w:t>
      </w:r>
      <w:r>
        <w:t xml:space="preserve"> </w:t>
      </w:r>
      <w:r>
        <w:rPr>
          <w:iCs/>
          <w:i/>
        </w:rPr>
        <w:t xml:space="preserve">Journal of International Business Studies, 19</w:t>
      </w:r>
      <w:r>
        <w:t xml:space="preserve">(1), 1–31. https://doi.org/10.1057/palgrave.jibs.8490372</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Hymer, S. H. (1976).</w:t>
      </w:r>
      <w:r>
        <w:t xml:space="preserve"> </w:t>
      </w:r>
      <w:r>
        <w:rPr>
          <w:iCs/>
          <w:i/>
        </w:rPr>
        <w:t xml:space="preserve">The international operations of national firms: A study of direct foreign investment</w:t>
      </w:r>
      <w:r>
        <w:t xml:space="preserve">. MIT Press.</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 https://doi.org/10.1002/smj.184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T. T.,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[Bản thảo đang phản biện].</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Mathews, J. A. (2002).</w:t>
      </w:r>
      <w:r>
        <w:t xml:space="preserve"> </w:t>
      </w:r>
      <w:r>
        <w:rPr>
          <w:iCs/>
          <w:i/>
        </w:rPr>
        <w:t xml:space="preserve">Dragon multinationals: Towards a new model of global growth</w:t>
      </w:r>
      <w:r>
        <w:t xml:space="preserve">. Oxford University Press.</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(1966). International investment and international trade in the product cycle.</w:t>
      </w:r>
      <w:r>
        <w:t xml:space="preserve"> </w:t>
      </w:r>
      <w:r>
        <w:rPr>
          <w:iCs/>
          <w:i/>
        </w:rPr>
        <w:t xml:space="preserve">The Quarterly Journal of Economics, 80</w:t>
      </w:r>
      <w:r>
        <w:t xml:space="preserve">(2), 190–207.</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Whetten, D. A. (1989). What constitutes a theoretical contribution?</w:t>
      </w:r>
      <w:r>
        <w:t xml:space="preserve"> </w:t>
      </w:r>
      <w:r>
        <w:rPr>
          <w:iCs/>
          <w:i/>
        </w:rPr>
        <w:t xml:space="preserve">Academy of Management Review, 14</w:t>
      </w:r>
      <w:r>
        <w:t xml:space="preserve">(4), 490–495. https://doi.org/10.5465/amr.1989.4308371</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[sắp xuất bản].</w:t>
      </w:r>
    </w:p>
    <w:p>
      <w:r>
        <w:pict>
          <v:rect style="width:0;height:1.5pt" o:hralign="center" o:hrstd="t" o:hr="t"/>
        </w:pict>
      </w:r>
    </w:p>
    <w:bookmarkEnd w:id="90"/>
    <w:bookmarkStart w:id="95" w:name="phụ-lục"/>
    <w:p>
      <w:pPr>
        <w:pStyle w:val="Heading2"/>
      </w:pPr>
      <w:r>
        <w:t xml:space="preserve">PHỤ LỤC</w:t>
      </w:r>
    </w:p>
    <w:bookmarkStart w:id="91" w:name="X99c2132ff359a6f3a08cce74cdac275000718c2"/>
    <w:p>
      <w:pPr>
        <w:pStyle w:val="Heading3"/>
      </w:pPr>
      <w:r>
        <w:t xml:space="preserve">Phụ lục A: Danh sách 50 nền kinh tế theo nhóm ICRV</w:t>
      </w:r>
    </w:p>
    <w:p>
      <w:pPr>
        <w:pStyle w:val="FirstParagraph"/>
      </w:pPr>
      <w:r>
        <w:t xml:space="preserve">ICRV Nhóm I, Tiên tiến đổi mới sáng tạo dẫn dắt (6 nền kinh tế):</w:t>
      </w:r>
      <w:r>
        <w:t xml:space="preserve"> </w:t>
      </w:r>
      <w:r>
        <w:t xml:space="preserve">Singapore, Hong Kong SAR, Hàn Quốc, Đài Loan, Israel, Nhật Bản (đợt khảo sát WBES đầu tiên năm 2025).</w:t>
      </w:r>
    </w:p>
    <w:p>
      <w:pPr>
        <w:pStyle w:val="BodyText"/>
      </w:pPr>
      <w:r>
        <w:t xml:space="preserve">ICRV Nhóm II, Tiên tiến tài nguyên dẫn dắt (6 nền kinh tế):</w:t>
      </w:r>
      <w:r>
        <w:t xml:space="preserve"> </w:t>
      </w:r>
      <w:r>
        <w:t xml:space="preserve">Saudi Arabia, Qatar, Kuwait, Bahrain, Brunei, Oman.</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Chuyển đổi thu nhập trung bình–thấp (7 nền kinh tế):</w:t>
      </w:r>
      <w:r>
        <w:t xml:space="preserve"> </w:t>
      </w:r>
      <w:r>
        <w:t xml:space="preserve">Việt Nam, Ấn Độ, Indonesia, Philippines, Mông Cổ, Bangladesh, Pakistan.</w:t>
      </w:r>
    </w:p>
    <w:p>
      <w:pPr>
        <w:pStyle w:val="BodyText"/>
      </w:pPr>
      <w:r>
        <w:t xml:space="preserve">ICRV Nhóm V, Đang nổi (17 nền kinh tế):</w:t>
      </w:r>
      <w:r>
        <w:t xml:space="preserve"> </w:t>
      </w:r>
      <w:r>
        <w:t xml:space="preserve">Sri Lanka, Jordan, Lào, Campuchia, Myanmar, Nepal, Bhutan, Maldives, Uzbekistan, Tajikistan, Kyrgyzstan, Turkmenistan, Afghanistan, Azerbaijan, Iraq, Lebanon, Yemen.</w:t>
      </w:r>
    </w:p>
    <w:p>
      <w:pPr>
        <w:pStyle w:val="BodyText"/>
      </w:pPr>
      <w:r>
        <w:t xml:space="preserve">ICRV Nhóm VI, SIDS, trường hợp biên (8 nền kinh tế):</w:t>
      </w:r>
      <w:r>
        <w:t xml:space="preserve"> </w:t>
      </w:r>
      <w:r>
        <w:t xml:space="preserve">Fiji, Kiribati, Papua New Guinea, Samoa, Solomon Islands, Tonga, Vanuatu, Timor-Leste.</w:t>
      </w:r>
      <w:r>
        <w:t xml:space="preserve"> </w:t>
      </w:r>
      <w:r>
        <w:rPr>
          <w:iCs/>
          <w:i/>
        </w:rPr>
        <w:t xml:space="preserve">(Ghi chú: mẫu chính của nghiên cứu chuyên sâu SIDS là 7 nền Thái Bình Dương; kiểm định độ vững mở rộng 9 nền, bổ sung Comoros.)</w:t>
      </w:r>
    </w:p>
    <w:p>
      <w:pPr>
        <w:pStyle w:val="BodyText"/>
      </w:pPr>
      <w:r>
        <w:t xml:space="preserve">Tổng: 6 + 6 + 6 + 7 + 17 + 8 = 50 nền kinh tế.</w:t>
      </w:r>
    </w:p>
    <w:bookmarkEnd w:id="91"/>
    <w:bookmarkStart w:id="92" w:name="phụ-lục-b-tóm-tắt-ba-bản-thảo-đồng-hành"/>
    <w:p>
      <w:pPr>
        <w:pStyle w:val="Heading3"/>
      </w:pPr>
      <w:r>
        <w:t xml:space="preserve">Phụ lục B: Tóm tắt ba bản thảo đồng hành</w:t>
      </w:r>
    </w:p>
    <w:p>
      <w:pPr>
        <w:pStyle w:val="FirstParagraph"/>
      </w:pPr>
      <w:r>
        <w:t xml:space="preserve">P3, Việt Nam (JABS, đang phản biện): Đỗ, T. H., &amp; Phan, A. T. (2026a).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(MIR, đang phản biện): Mar, T. T., Đỗ, T. H., &amp; Phan, A. T. (2026). Phân tích 623 doanh nghiệp WBES 2023. Kết quả chính: đường cong I–P chủ yếu dương; điểm uốn hàm ý ~88,6% (vùng thưa dữ liệu; Lind–Mehlum p = 0,303); DAI×FSTS² = +3,119 (p = 0,005), DAI là nguồn lực mở rộng tình huống; TCI β = 0,153.</w:t>
      </w:r>
    </w:p>
    <w:p>
      <w:pPr>
        <w:pStyle w:val="BodyText"/>
      </w:pPr>
      <w:r>
        <w:t xml:space="preserve">P5, Trung Quốc (IJOEM, đang phản biện): Đỗ, T. H., &amp; Phan, A. T. (2026b). Phân tích 4.544 doanh nghiệp WBES hai sóng 2012/2024. Kết quả chính: chữ U ngược bền vững cấu trúc, điểm uốn 49,4% (2012), 47,2% (2024), Paternoster FSTS² p = 0,545 (không có sự khác biệt đáng kể); TCI tăng cường theo thời gian (+0,260 sang +0,426, Paternoster p = 0,011).</w:t>
      </w:r>
    </w:p>
    <w:bookmarkEnd w:id="92"/>
    <w:bookmarkStart w:id="93"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3"/>
    <w:bookmarkStart w:id="94" w:name="Xa84ffce5c253a184851e54c82ab1310212e4bc3"/>
    <w:p>
      <w:pPr>
        <w:pStyle w:val="Heading3"/>
      </w:pPr>
      <w:r>
        <w:t xml:space="preserve">Phụ lục D: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Mẫu gộp 50 nền kinh tế × 5 ngành chính ≈ 250 cụm,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4"/>
    <w:bookmarkEnd w:id="9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2026-06-20T07:09:32Z</dcterms:created>
  <dcterms:modified xsi:type="dcterms:W3CDTF">2026-06-20T07:09:32Z</dcterms:modified>
</cp:coreProperties>
</file>

<file path=docProps/custom.xml><?xml version="1.0" encoding="utf-8"?>
<Properties xmlns="http://schemas.openxmlformats.org/officeDocument/2006/custom-properties" xmlns:vt="http://schemas.openxmlformats.org/officeDocument/2006/docPropsVTypes"/>
</file>