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data (Vietnam 2009, 2015, 2023; N = 2,958) underpin wave-specific and pooled OLS models with HC1 standard errors, quadratic export-intensity terms, and capability interactions. TCI (quality certification, foreign-licensed technology) is the primary construct; a single-item website indicator (Tier-1 only) is retained as a digital-presence control.</w:t>
      </w:r>
    </w:p>
    <w:p>
      <w:pPr>
        <w:pStyle w:val="BodyText"/>
      </w:pPr>
      <w:r>
        <w:t xml:space="preserve">Findings — An inverted-U between export intensity and labour productivity holds across all three waves, with turning points clustered between 39% and 46% — a durable 7-percentage-point band across 14 years of institutional change. The nonlinearity reflects a participation-margin effect (Helpman, Melitz &amp; Yeaple, 2004): re-estimated on the exporter-only sub-sample, the quadratic term loses significance (β = −0.200, p = .660). TCI is positively associated with productivity in all waves (pooled β = 0.179, p &lt; .001) and moderates the I–P curvature. The website indicator follows a Tier-1 proxy-obsolescence trajectory: positive in 2009, null in 2015, and negatively interactive with export intensity in 2023.</w:t>
      </w:r>
    </w:p>
    <w:p>
      <w:pPr>
        <w:pStyle w:val="BodyText"/>
      </w:pPr>
      <w:r>
        <w:t xml:space="preserve">Originality/value — The study shows that the conventional inverted-U in zero-inflated emerging-market settings reflects a performance gap at the export-participation barrier rather than a continuous intensity-saturation curve; pooled digital coefficients on a Tier-1 binary mask progressive proxy obsolescence. The evidence that the threshold cluster (39–46% FSTS band) is institutionally embedded rather than firm-specific shifts the debate from 'does internationalization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demonstrate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shows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shows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drawing>
          <wp:inline>
            <wp:extent cx="5753100" cy="4221138"/>
            <wp:effectExtent b="0" l="0" r="0" t="0"/>
            <wp:docPr descr="Figure 1: Conceptual model —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4221138"/>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&amp;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&amp;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confirm that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confirm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confirms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shows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confirm that the internationalisation–performance relationship is nonlinear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together confirm the inverted-U,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confirms that slopes at the data boundaries (FSTS=0: +1.52; FSTS=100%: −2.30) are jointly inconsistent with monotonicity.</w:t>
      </w:r>
    </w:p>
    <w:p>
      <w:pPr>
        <w:pStyle w:val="BodyText"/>
      </w:pPr>
      <w:r>
        <w:t xml:space="preserve">The pooled evidence shows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shows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3835399"/>
            <wp:effectExtent b="0" l="0" r="0" t="0"/>
            <wp:docPr descr="Figure 2a: Wave 2009 —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drawing>
          <wp:inline>
            <wp:extent cx="5753100" cy="3835399"/>
            <wp:effectExtent b="0" l="0" r="0" t="0"/>
            <wp:docPr descr="Figure 2b: Wave 2015 —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drawing>
          <wp:inline>
            <wp:extent cx="5753100" cy="3835399"/>
            <wp:effectExtent b="0" l="0" r="0" t="0"/>
            <wp:docPr descr="Figure 2c: Wave 2023 —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drawing>
          <wp:inline>
            <wp:extent cx="5753100" cy="3835399"/>
            <wp:effectExtent b="0" l="0" r="0" t="0"/>
            <wp:docPr descr="Figure 2d: Pooled (2009+2015+2023) —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3835399"/>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 Fan, &amp; Chen, 2022 — MIR; Marano et al., 2016).</w:t>
      </w:r>
    </w:p>
    <w:p>
      <w:pPr>
        <w:pStyle w:val="BodyText"/>
      </w:pPr>
      <w:r>
        <w:t xml:space="preserve">H2 is supported: the positive TCI_z direct coefficient (pooled β = 0.179, p &lt; .001) is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confirm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drawing>
          <wp:inline>
            <wp:extent cx="5753100" cy="2401293"/>
            <wp:effectExtent b="0" l="0" r="0" t="0"/>
            <wp:docPr descr="Figure 3: Moderator marginal effects —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401293"/>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show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confirms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confirms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confirms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confirm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confirm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confirm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confirms that institutional context — held constant in this single-country design — stabilises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w:t>
      </w:r>
    </w:p>
    <w:bookmarkStart w:id="64"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show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will be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will be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confirm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shows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show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show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w:t>
      </w:r>
    </w:p>
    <w:p>
      <w:pPr>
        <w:pStyle w:val="BodyText"/>
      </w:pPr>
      <w:r>
        <w:t xml:space="preserve">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2026-05-16T09:33:13Z</dcterms:created>
  <dcterms:modified xsi:type="dcterms:W3CDTF">2026-05-16T09:33:13Z</dcterms:modified>
</cp:coreProperties>
</file>

<file path=docProps/custom.xml><?xml version="1.0" encoding="utf-8"?>
<Properties xmlns="http://schemas.openxmlformats.org/officeDocument/2006/custom-properties" xmlns:vt="http://schemas.openxmlformats.org/officeDocument/2006/docPropsVTypes"/>
</file>