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r>
        <w:t xml:space="preserve"> </w:t>
      </w:r>
      <w:r>
        <w:rPr>
          <w:iCs/>
          <w:i/>
        </w:rPr>
        <w:t xml:space="preserve">(Cơ sở baseline meta-analysis — P1/P2.)</w:t>
      </w:r>
    </w:p>
    <w:p>
      <w:pPr>
        <w:numPr>
          <w:ilvl w:val="0"/>
          <w:numId w:val="1003"/>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29">
        <w:r>
          <w:rPr>
            <w:rStyle w:val="Hyperlink"/>
          </w:rPr>
          <w:t xml:space="preserve">https://doi.org/10.5772/intechopen.1011012</w:t>
        </w:r>
      </w:hyperlink>
      <w:r>
        <w:t xml:space="preserve"> </w:t>
      </w:r>
      <w:r>
        <w:rPr>
          <w:iCs/>
          <w:i/>
        </w:rPr>
        <w:t xml:space="preserve">(</w:t>
      </w:r>
      <w:r>
        <w:rPr>
          <w:bCs/>
          <w:b/>
          <w:iCs/>
          <w:i/>
        </w:rPr>
        <w:t xml:space="preserve">P9</w:t>
      </w:r>
      <w:r>
        <w:rPr>
          <w:iCs/>
          <w:i/>
        </w:rPr>
        <w:t xml:space="preserve"> </w:t>
      </w:r>
      <w:r>
        <w:rPr>
          <w:iCs/>
          <w:i/>
        </w:rPr>
        <w:t xml:space="preserve">— đã công bố, dữ liệu đến 2025; bằng chứng country-level Ấn Độ (380 doanh nghiệp WBES, ước lượng FGLS) về vai trò điều tiết của đặc điểm nhà quản trị cấp cao — gắn với tầng thượng tầng quản trị/H4 của luận án.)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bookmarkEnd w:id="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5772/intechopen.1011012"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5772/intechopen.10110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2026-06-08T13:43:18Z</dcterms:created>
  <dcterms:modified xsi:type="dcterms:W3CDTF">2026-06-08T13:43:18Z</dcterms:modified>
</cp:coreProperties>
</file>

<file path=docProps/custom.xml><?xml version="1.0" encoding="utf-8"?>
<Properties xmlns="http://schemas.openxmlformats.org/officeDocument/2006/custom-properties" xmlns:vt="http://schemas.openxmlformats.org/officeDocument/2006/docPropsVTypes"/>
</file>