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0"/>
    <w:bookmarkStart w:id="25" w:name="Xc3d6549fb67845f31a5a24f65669fdeb3bd3911"/>
    <w:p>
      <w:pPr>
        <w:pStyle w:val="Heading2"/>
      </w:pPr>
      <w:r>
        <w:t xml:space="preserve">4.1 Thực trạng quốc tế hóa và hiệu quả hoạt động kinh doanh tại châu Á</w:t>
      </w:r>
    </w:p>
    <w:bookmarkStart w:id="21" w:name="Xd494b1d34c58141b179120912d2f55e522d9b8f"/>
    <w:p>
      <w:pPr>
        <w:pStyle w:val="Heading3"/>
      </w:pPr>
      <w:r>
        <w:t xml:space="preserve">4.1.1 Bức tranh tổng thể về hiệu quả doanh nghiệp châu Á</w:t>
      </w:r>
    </w:p>
    <w:p>
      <w:pPr>
        <w:pStyle w:val="FirstParagraph"/>
      </w:pPr>
      <w:r>
        <w:t xml:space="preserve">Phân tích mô tả trên pool 91.982 doanh nghiệp từ 49 nền kinh tế châu Á và Thái Bình Dương trong giai đoạn 2003–2025 cho thấy bức tranh hiệu quả hoạt động kinh doanh có sự phân tán lớn và không hội tụ. Năng suất lao động — đo bằng ln(doanh thu/lao động) —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w:t>
            </w:r>
          </w:p>
        </w:tc>
        <w:tc>
          <w:tcPr/>
          <w:p>
            <w:pPr>
              <w:pStyle w:val="Compact"/>
              <w:jc w:val="left"/>
            </w:pPr>
            <w:r>
              <w:t xml:space="preserve">4.708</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Emerging (VNM, IDN, PHL, IND...)</w:t>
            </w:r>
          </w:p>
        </w:tc>
        <w:tc>
          <w:tcPr/>
          <w:p>
            <w:pPr>
              <w:pStyle w:val="Compact"/>
              <w:jc w:val="left"/>
            </w:pPr>
            <w:r>
              <w:t xml:space="preserve">50.926</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Frontier (BGD, PAK, LAO, KHM...)</w:t>
            </w:r>
          </w:p>
        </w:tc>
        <w:tc>
          <w:tcPr/>
          <w:p>
            <w:pPr>
              <w:pStyle w:val="Compact"/>
              <w:jc w:val="left"/>
            </w:pPr>
            <w:r>
              <w:t xml:space="preserve">18.569</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Các thống kê độ phân tán (sd log LP) và tỷ lệ (%) được tính trên năng suất lao động đã hiệu chỉnh PPP/winsorize theo từng country-year (xem §3.5.3).</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 sd ≈ 1,03) và nhóm tài nguyên dẫn dắt (Saudi Arabia, Qatar, Kuwait — sd ≈ 0,49) xấp xỉ 2,1 lần, phản ánh hai cơ chế tăng trưởng và phân phối hoàn toàn khác nhau. Phân nhóm con tài nguyên dẫn dắt có độ phân tán năng suất thấp nhất toàn bộ pool —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1"/>
    <w:bookmarkStart w:id="22" w:name="X41765b9ba7c4d5303f63bdb143f647f62623bb9"/>
    <w:p>
      <w:pPr>
        <w:pStyle w:val="Heading3"/>
      </w:pPr>
      <w:r>
        <w:t xml:space="preserve">4.1.2 Thực trạng quốc tế hóa — phân cực tham gia xuất khẩu</w:t>
      </w:r>
    </w:p>
    <w:p>
      <w:pPr>
        <w:pStyle w:val="FirstParagraph"/>
      </w:pPr>
      <w:r>
        <w:t xml:space="preserve">Trung vị FSTS bằng 0% trong tất cả các phân nhóm —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2"/>
    <w:bookmarkStart w:id="23" w:name="Xf0ef4e438191e4e642220a9a98292a3888bc29e"/>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2003–2025.</w:t>
      </w:r>
    </w:p>
    <w:p>
      <w:pPr>
        <w:pStyle w:val="BodyText"/>
      </w:pPr>
      <w:r>
        <w:t xml:space="preserve">Phát hiện đáng chú ý là pattern "nhảy vọt số" (digital leapfrogging) ở SIDS: tỷ lệ website 58,9% vượt cả nhóm Emerging (49,2%) dù GNI thấp hơn đáng kể —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 xác nhận đây là vấn đề đo lường chứ không phải quan hệ nhân quả thực.</w:t>
      </w:r>
    </w:p>
    <w:bookmarkEnd w:id="23"/>
    <w:bookmarkStart w:id="24" w:name="Xc12f69eaa9c8f054bc697622f7fe23deacdba9a"/>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 đặc biệt nghiêm trọng ở Frontier và Emerging; (ii) thiếu hụt lao động có kỹ năng; (iii) cạnh tranh từ doanh nghiệp phi chính thức; và (iv) nguồn cung điện không đáng tin cậy. Bốn rào cản này hình thành "institutional voids" (Khanna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4"/>
    <w:bookmarkEnd w:id="25"/>
    <w:bookmarkStart w:id="30" w:name="X765431cc2ba8ea17b9f26c144a52de84c0b8508"/>
    <w:p>
      <w:pPr>
        <w:pStyle w:val="Heading2"/>
      </w:pPr>
      <w:r>
        <w:t xml:space="preserve">4.2 Kết quả tổng hợp định lượng — Meta-analysis ba tầng (P6)</w:t>
      </w:r>
    </w:p>
    <w:bookmarkStart w:id="26" w:name="Xff5979a63504f14407b0d85f43a6c8324938958"/>
    <w:p>
      <w:pPr>
        <w:pStyle w:val="Heading3"/>
      </w:pPr>
      <w:r>
        <w:t xml:space="preserve">4.2.1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6"/>
    <w:bookmarkStart w:id="27" w:name="Xebb799d3ec18bcd19862bc38ac017784274d9d9"/>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7"/>
    <w:bookmarkStart w:id="28" w:name="X611e09194b09194f16433d5c7d869ad7daf26e1"/>
    <w:p>
      <w:pPr>
        <w:pStyle w:val="Heading3"/>
      </w:pPr>
      <w:r>
        <w:t xml:space="preserve">4.2.3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8"/>
    <w:bookmarkStart w:id="29" w:name="X6516e6905b75b0313f9350803a09f8115a11764"/>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9"/>
    <w:bookmarkEnd w:id="30"/>
    <w:bookmarkStart w:id="34" w:name="X240e194458f5111df8410ba3e5077585e24446e"/>
    <w:p>
      <w:pPr>
        <w:pStyle w:val="Heading2"/>
      </w:pPr>
      <w:r>
        <w:t xml:space="preserve">4.3 Kết quả bối cảnh thể chế tiên tiến — Đổi mới: Singapore (P4)</w:t>
      </w:r>
    </w:p>
    <w:bookmarkStart w:id="31" w:name="X679a53d2d7d81af6dc70c43fd1f038f5d3cee36"/>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"chưa quan sát thấy ngưỡng bất lợi của quốc tế hóa trong miền dữ liệu"</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4.x).</w:t>
      </w:r>
    </w:p>
    <w:bookmarkEnd w:id="31"/>
    <w:bookmarkStart w:id="32" w:name="X4e892af5ca440364b8d37c3a20faa47e2037652"/>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2"/>
    <w:bookmarkStart w:id="33" w:name="X62c0545ea3f9a0c507d1157469fca0ebf1d479e"/>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33"/>
    <w:bookmarkEnd w:id="34"/>
    <w:bookmarkStart w:id="38" w:name="X94814fc7a5dc9750a15cc4bbe9ebfefe5f75317"/>
    <w:p>
      <w:pPr>
        <w:pStyle w:val="Heading2"/>
      </w:pPr>
      <w:r>
        <w:t xml:space="preserve">4.4 Kết quả bối cảnh thể chế trung bình cao: Trung Quốc, 2012–2024 (P5)</w:t>
      </w:r>
    </w:p>
    <w:bookmarkStart w:id="35" w:name="Xb60e8e08616c949564cfeefd501a6d5841b6507"/>
    <w:p>
      <w:pPr>
        <w:pStyle w:val="Heading3"/>
      </w:pPr>
      <w:r>
        <w:t xml:space="preserve">4.4.1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5"/>
    <w:bookmarkStart w:id="36" w:name="Xa0deb7d8913573d019b75740971fb67375bd22e"/>
    <w:p>
      <w:pPr>
        <w:pStyle w:val="Heading3"/>
      </w:pPr>
      <w:r>
        <w:t xml:space="preserve">4.4.2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 có thể phản ánh sự bù trừ giữa chi phí thích ứng tăng lên do chính sách thương mại khó đoán và năng lực tổ chức ngày càng trưởng thành của các doanh nghiệp xuất khẩu Trung Quốc.</w:t>
      </w:r>
    </w:p>
    <w:bookmarkEnd w:id="36"/>
    <w:bookmarkStart w:id="37" w:name="X71f14a0a5696ef1da89ff288e5ba29857e3b764"/>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7"/>
    <w:bookmarkEnd w:id="38"/>
    <w:bookmarkStart w:id="43" w:name="Xbcfd430554f00dbefbbe6cf2f35944b447a87b7"/>
    <w:p>
      <w:pPr>
        <w:pStyle w:val="Heading2"/>
      </w:pPr>
      <w:r>
        <w:t xml:space="preserve">4.5 Kết quả bối cảnh chuyển đổi bậc thấp—trung: Việt Nam (P3)</w:t>
      </w:r>
    </w:p>
    <w:bookmarkStart w:id="39" w:name="X3454574aade39a3defa8c8bbeff40a0b08588bb"/>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9"/>
    <w:bookmarkStart w:id="40" w:name="X804630c1165edd6cffbd7129602e5c7644f12f7"/>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88,6%) và tương đương hoặc thấp hơn Trung Quốc (TP ≈ 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w:t>
      </w:r>
    </w:p>
    <w:bookmarkEnd w:id="40"/>
    <w:bookmarkStart w:id="41" w:name="X61eaf74d7adbfccac462ff4ef2ca9383cc5f370"/>
    <w:p>
      <w:pPr>
        <w:pStyle w:val="Heading3"/>
      </w:pPr>
      <w:r>
        <w:t xml:space="preserve">4.5.3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 nhất quán với H2 trong khung lý thuyết CDCM.</w:t>
      </w:r>
    </w:p>
    <w:bookmarkEnd w:id="41"/>
    <w:bookmarkStart w:id="42" w:name="Xf74d16bb8b5ef71c31f95c8c6bafd31bd18e385"/>
    <w:p>
      <w:pPr>
        <w:pStyle w:val="Heading3"/>
      </w:pPr>
      <w:r>
        <w:t xml:space="preserve">4.5.4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2"/>
    <w:bookmarkEnd w:id="43"/>
    <w:bookmarkStart w:id="50" w:name="X55199701f1cb1e5a36a24137550ac95e848a636"/>
    <w:p>
      <w:pPr>
        <w:pStyle w:val="Heading2"/>
      </w:pPr>
      <w:r>
        <w:t xml:space="preserve">4.6 Kết quả kiểm định toàn mẫu đa bối cảnh châu Á (P7)</w:t>
      </w:r>
    </w:p>
    <w:bookmarkStart w:id="44" w:name="X4afadfb0b2cc4943ce00f31457981e8c10f3a3d"/>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4"/>
    <w:bookmarkStart w:id="48" w:name="Xb1032e0e3de2851ef84ba79e46d037a1936fae6"/>
    <w:p>
      <w:pPr>
        <w:pStyle w:val="Heading3"/>
      </w:pPr>
      <w:r>
        <w:t xml:space="preserve">4.6.2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p>
      <w:pPr>
        <w:pStyle w:val="BodyText"/>
      </w:pPr>
      <w:r>
        <w:drawing>
          <wp:inline>
            <wp:extent cx="5753100" cy="3849196"/>
            <wp:effectExtent b="0" l="0" r="0" t="0"/>
            <wp:docPr descr="Hình 4.x. Họ đường cong I–P phụ thuộc chế độ thể chế ICRV" title="" id="46" name="Picture"/>
            <a:graphic>
              <a:graphicData uri="http://schemas.openxmlformats.org/drawingml/2006/picture">
                <pic:pic>
                  <pic:nvPicPr>
                    <pic:cNvPr descr="figures/fig_4_x_ip_curves_icrv_gradient.png" id="47" name="Picture"/>
                    <pic:cNvPicPr>
                      <a:picLocks noChangeArrowheads="1" noChangeAspect="1"/>
                    </pic:cNvPicPr>
                  </pic:nvPicPr>
                  <pic:blipFill>
                    <a:blip r:embed="rId45"/>
                    <a:stretch>
                      <a:fillRect/>
                    </a:stretch>
                  </pic:blipFill>
                  <pic:spPr bwMode="auto">
                    <a:xfrm>
                      <a:off x="0" y="0"/>
                      <a:ext cx="5753100" cy="3849196"/>
                    </a:xfrm>
                    <a:prstGeom prst="rect">
                      <a:avLst/>
                    </a:prstGeom>
                    <a:noFill/>
                    <a:ln w="9525">
                      <a:noFill/>
                      <a:headEnd/>
                      <a:tailEnd/>
                    </a:ln>
                  </pic:spPr>
                </pic:pic>
              </a:graphicData>
            </a:graphic>
          </wp:inline>
        </w:drawing>
      </w:r>
    </w:p>
    <w:p>
      <w:pPr>
        <w:pStyle w:val="BodyText"/>
      </w:pPr>
      <w:r>
        <w:rPr>
          <w:bCs/>
          <w:b/>
        </w:rPr>
        <w:t xml:space="preserve">Hình 4.x.</w:t>
      </w:r>
      <w:r>
        <w:t xml:space="preserve"> </w:t>
      </w:r>
      <w:r>
        <w:rPr>
          <w:iCs/>
          <w:i/>
        </w:rPr>
        <w:t xml:space="preserve">Họ đường cong I–P phụ thuộc chế độ thể chế ICRV.</w:t>
      </w:r>
      <w:r>
        <w:t xml:space="preserve"> </w:t>
      </w:r>
      <w:r>
        <w:t xml:space="preserve">Các đường chữ U ngược có cùng độ cao đỉnh nhưng điểm uốn (turning point) dịch dần sang phải khi chất lượng thể chế giảm (từ ≈28% ở Nhóm I đến ≈55% ở Nhóm V–VI); riêng nhóm SIDS (Nhóm VI) quan hệ chuyển sang âm đơn điệu không có điểm uốn (FIP, H1b).</w:t>
      </w:r>
      <w:r>
        <w:t xml:space="preserve"> </w:t>
      </w:r>
      <w:r>
        <w:rPr>
          <w:iCs/>
          <w:i/>
        </w:rPr>
        <w:t xml:space="preserve">Nguồn: minh họa của tác giả từ kết quả P6–P8.</w:t>
      </w:r>
    </w:p>
    <w:bookmarkEnd w:id="48"/>
    <w:bookmarkStart w:id="49" w:name="X5a095d2d2756e364c0fa5703e6aa5c62834bd73"/>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 một đơn vị độ lệch chuẩn tăng TCI nâng năng suất lao động khoảng 41% (exp(0,344)−1). Tuy nhiên, các tương tác FSTS×TCI và FSTS²×TCI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9"/>
    <w:bookmarkEnd w:id="50"/>
    <w:bookmarkStart w:id="54" w:name="X148edf673f29f3cdc512225d99b03a9e67e1c42"/>
    <w:p>
      <w:pPr>
        <w:pStyle w:val="Heading2"/>
      </w:pPr>
      <w:r>
        <w:t xml:space="preserve">4.7 Kết quả trường hợp biên SIDS — Các nền kinh tế đảo nhỏ đang phát triển (P8)</w:t>
      </w:r>
    </w:p>
    <w:bookmarkStart w:id="51" w:name="Xe52dd8a4967ed07d68452ad9b61fc702a699611"/>
    <w:p>
      <w:pPr>
        <w:pStyle w:val="Heading3"/>
      </w:pPr>
      <w:r>
        <w:t xml:space="preserve">4.7.1 Đặc điểm mẫu SIDS</w:t>
      </w:r>
    </w:p>
    <w:p>
      <w:pPr>
        <w:pStyle w:val="FirstParagraph"/>
      </w:pPr>
      <w:r>
        <w:t xml:space="preserve">Phân tích P8 tập trung vào bảy quốc gia Pacific SIDS (Pacific Small Island Developing States —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51"/>
    <w:bookmarkStart w:id="52" w:name="Xda8912ddf3b9c40c39597e70818ba6d2fa29362"/>
    <w:p>
      <w:pPr>
        <w:pStyle w:val="Heading3"/>
      </w:pPr>
      <w:r>
        <w:t xml:space="preserve">4.7.2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Trong mẫu chỉ gồm doanh nghiệp xuất khẩu (exporters-only, N = 26 —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52"/>
    <w:bookmarkStart w:id="53" w:name="X9bd5b3fa82a3bf10893bad805f5c2ae8e352ac8"/>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có trong literature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53"/>
    <w:bookmarkEnd w:id="54"/>
    <w:bookmarkStart w:id="55" w:name="X5f84eb56afd02fae22daa44ef7dc0d03f77fdb7"/>
    <w:p>
      <w:pPr>
        <w:pStyle w:val="Heading2"/>
      </w:pPr>
      <w:r>
        <w:t xml:space="preserve">4.8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bl>
    <w:p>
      <w:r>
        <w:pict>
          <v:rect style="width:0;height:1.5pt" o:hralign="center" o:hrstd="t" o:hr="t"/>
        </w:pict>
      </w:r>
    </w:p>
    <w:bookmarkEnd w:id="55"/>
    <w:bookmarkStart w:id="57"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w:t>
      </w:r>
      <w:r>
        <w:t xml:space="preserve"> </w:t>
      </w:r>
      <w:hyperlink r:id="rId56">
        <w:r>
          <w:rPr>
            <w:rStyle w:val="Hyperlink"/>
          </w:rPr>
          <w:t xml:space="preserve">https://www.enterprisesurveys.org</w:t>
        </w:r>
      </w:hyperlink>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hyperlink" Id="rId56" Target="https://www.enterprisesurveys.org" TargetMode="External" /></Relationships>
</file>

<file path=word/_rels/footnotes.xml.rels><?xml version="1.0" encoding="UTF-8"?><Relationships xmlns="http://schemas.openxmlformats.org/package/2006/relationships"><Relationship Type="http://schemas.openxmlformats.org/officeDocument/2006/relationships/hyperlink" Id="rId56" Target="https://www.enterprisesurvey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2026-06-08T13:43:19Z</dcterms:created>
  <dcterms:modified xsi:type="dcterms:W3CDTF">2026-06-08T13:43:19Z</dcterms:modified>
</cp:coreProperties>
</file>

<file path=docProps/custom.xml><?xml version="1.0" encoding="utf-8"?>
<Properties xmlns="http://schemas.openxmlformats.org/officeDocument/2006/custom-properties" xmlns:vt="http://schemas.openxmlformats.org/officeDocument/2006/docPropsVTypes"/>
</file>