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7" w:name="X2651b4d67feaf2e0df68681ad8dd39211647d7a"/>
    <w:p>
      <w:pPr>
        <w:pStyle w:val="Heading1"/>
      </w:pPr>
      <w:r>
        <w:t xml:space="preserve">Forced Internationalization Penalty: Firm Performance in Pacific and Indian Ocean Small Island Developing States</w:t>
      </w:r>
    </w:p>
    <w:p>
      <w:pPr>
        <w:pStyle w:val="FirstParagraph"/>
      </w:pPr>
      <w:r>
        <w:rPr>
          <w:bCs/>
          <w:b/>
        </w:rPr>
        <w:t xml:space="preserve">Target journal</w:t>
      </w:r>
      <w:r>
        <w:t xml:space="preserve">: Journal of Economics and Development (JED), Emerald Publishing on behalf of National Economics University (NEU)</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highlights"/>
    <w:p>
      <w:pPr>
        <w:pStyle w:val="Heading2"/>
      </w:pPr>
      <w:r>
        <w:t xml:space="preserve">Highlights</w:t>
      </w:r>
    </w:p>
    <w:p>
      <w:pPr>
        <w:numPr>
          <w:ilvl w:val="0"/>
          <w:numId w:val="1001"/>
        </w:numPr>
        <w:pStyle w:val="Compact"/>
      </w:pPr>
      <w:r>
        <w:t xml:space="preserve">First firm-level test of the Forced Internationalization Penalty in Pacific SIDS.</w:t>
      </w:r>
    </w:p>
    <w:p>
      <w:pPr>
        <w:numPr>
          <w:ilvl w:val="0"/>
          <w:numId w:val="1001"/>
        </w:numPr>
        <w:pStyle w:val="Compact"/>
      </w:pPr>
      <w:r>
        <w:t xml:space="preserve">Internationalization is monotone-negative for productivity (β = −0.404, p =.032).</w:t>
      </w:r>
    </w:p>
    <w:p>
      <w:pPr>
        <w:numPr>
          <w:ilvl w:val="0"/>
          <w:numId w:val="1001"/>
        </w:numPr>
        <w:pStyle w:val="Compact"/>
      </w:pPr>
      <w:r>
        <w:t xml:space="preserve">The quadratic term is null: no observable turning point in the data range.</w:t>
      </w:r>
    </w:p>
    <w:p>
      <w:pPr>
        <w:numPr>
          <w:ilvl w:val="0"/>
          <w:numId w:val="1001"/>
        </w:numPr>
        <w:pStyle w:val="Compact"/>
      </w:pPr>
      <w:r>
        <w:t xml:space="preserve">Technological capability and digital adoption do not override the penalty.</w:t>
      </w:r>
    </w:p>
    <w:p>
      <w:pPr>
        <w:numPr>
          <w:ilvl w:val="0"/>
          <w:numId w:val="1001"/>
        </w:numPr>
        <w:pStyle w:val="Compact"/>
      </w:pPr>
      <w:r>
        <w:t xml:space="preserve">Shift I–P framing from institutional moderation to institutional determination.</w:t>
      </w:r>
    </w:p>
    <w:p>
      <w:r>
        <w:pict>
          <v:rect style="width:0;height:1.5pt" o:hralign="center" o:hrstd="t" o:hr="t"/>
        </w:pict>
      </w:r>
    </w:p>
    <w:bookmarkEnd w:id="20"/>
    <w:bookmarkStart w:id="21" w:name="abstract"/>
    <w:p>
      <w:pPr>
        <w:pStyle w:val="Heading2"/>
      </w:pPr>
      <w:r>
        <w:t xml:space="preserve">Abstract</w:t>
      </w:r>
    </w:p>
    <w:p>
      <w:pPr>
        <w:pStyle w:val="FirstParagraph"/>
      </w:pPr>
      <w:r>
        <w:rPr>
          <w:bCs/>
          <w:b/>
        </w:rPr>
        <w:t xml:space="preserve">Purpose.</w:t>
      </w:r>
      <w:r>
        <w:t xml:space="preserve"> </w:t>
      </w:r>
      <w:r>
        <w:t xml:space="preserve">Tests whether the canonical inverted-U survives in Pacific Small Island Developing States (SIDS) and develops the Forced Internationalization Penalty (FIP) as a structural boundary condition.</w:t>
      </w:r>
    </w:p>
    <w:p>
      <w:pPr>
        <w:pStyle w:val="BodyText"/>
      </w:pPr>
      <w:r>
        <w:rPr>
          <w:bCs/>
          <w:b/>
        </w:rPr>
        <w:t xml:space="preserve">Design/methodology/approach.</w:t>
      </w:r>
      <w:r>
        <w:t xml:space="preserve"> </w:t>
      </w:r>
      <w:r>
        <w:t xml:space="preserve">WBES from 1,469 firms across nine Pacific and Indian Ocean SIDS (2009–2025; 187 exporters). Three OLS specifications: country-and-year FE; year-only FE; exporters-only. Lind–Mehlum tests verify quadratic curvature direction.</w:t>
      </w:r>
    </w:p>
    <w:p>
      <w:pPr>
        <w:pStyle w:val="BodyText"/>
      </w:pPr>
      <w:r>
        <w:rPr>
          <w:bCs/>
          <w:b/>
        </w:rPr>
        <w:t xml:space="preserve">Findings.</w:t>
      </w:r>
      <w:r>
        <w:t xml:space="preserve"> </w:t>
      </w:r>
      <w:r>
        <w:t xml:space="preserve">Internationalisation is robustly negatively associated with productivity (</w:t>
      </w:r>
      <m:oMath>
        <m:r>
          <m:t>β</m:t>
        </m:r>
      </m:oMath>
      <w:r>
        <w:t xml:space="preserve"> </w:t>
      </w:r>
      <w:r>
        <w:t xml:space="preserve">= −0.404, p =.032; −1.236, p &lt;.001; −0.901, p =.027 across specifications). Quadratic FSTS null in every specification, no turning point. TCI and DAI moderators null. The three structural prerequisites (viable home market, manageable trade costs, functional institutions) are simultaneously absent.</w:t>
      </w:r>
    </w:p>
    <w:p>
      <w:pPr>
        <w:pStyle w:val="BodyText"/>
      </w:pPr>
      <w:r>
        <w:rPr>
          <w:bCs/>
          <w:b/>
        </w:rPr>
        <w:t xml:space="preserve">Research limitations/implications.</w:t>
      </w:r>
      <w:r>
        <w:t xml:space="preserve"> </w:t>
      </w:r>
      <w:r>
        <w:t xml:space="preserve">Power constrained at 187 exporters; opens research on other extreme-developing contexts (landlocked LDCs, post-conflict economies).</w:t>
      </w:r>
    </w:p>
    <w:p>
      <w:pPr>
        <w:pStyle w:val="BodyText"/>
      </w:pPr>
      <w:r>
        <w:rPr>
          <w:bCs/>
          <w:b/>
        </w:rPr>
        <w:t xml:space="preserve">Practical implications.</w:t>
      </w:r>
      <w:r>
        <w:t xml:space="preserve"> </w:t>
      </w:r>
      <w:r>
        <w:t xml:space="preserve">Cautions against export-intensity targets in Pacific SIDS programmes; complementary structural reforms are prerequisites for positive I-P returns.</w:t>
      </w:r>
    </w:p>
    <w:p>
      <w:pPr>
        <w:pStyle w:val="BodyText"/>
      </w:pPr>
      <w:r>
        <w:rPr>
          <w:bCs/>
          <w:b/>
        </w:rPr>
        <w:t xml:space="preserve">Social implications.</w:t>
      </w:r>
      <w:r>
        <w:t xml:space="preserve"> </w:t>
      </w:r>
      <w:r>
        <w:t xml:space="preserve">Under the Antigua and Barbuda Agenda (UNGA 2024), SIDS firms cannot</w:t>
      </w:r>
      <w:r>
        <w:t xml:space="preserve"> </w:t>
      </w:r>
      <w:r>
        <w:t xml:space="preserve">“</w:t>
      </w:r>
      <w:r>
        <w:t xml:space="preserve">internationalise their way out of</w:t>
      </w:r>
      <w:r>
        <w:t xml:space="preserve">”</w:t>
      </w:r>
      <w:r>
        <w:t xml:space="preserve"> </w:t>
      </w:r>
      <w:r>
        <w:t xml:space="preserve">structural constraints.</w:t>
      </w:r>
    </w:p>
    <w:p>
      <w:pPr>
        <w:pStyle w:val="BodyText"/>
      </w:pPr>
      <w:r>
        <w:rPr>
          <w:bCs/>
          <w:b/>
        </w:rPr>
        <w:t xml:space="preserve">Originality/value.</w:t>
      </w:r>
      <w:r>
        <w:t xml:space="preserve"> </w:t>
      </w:r>
      <w:r>
        <w:t xml:space="preserve">First firm-level operationalisation of the SIDS macro-vulnerability framework. Shifts the debate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Of 1,745 WBES-based IB studies, zero covered Pacific SIDS.</w:t>
      </w:r>
    </w:p>
    <w:p>
      <w:pPr>
        <w:pStyle w:val="BodyText"/>
      </w:pPr>
      <w:r>
        <w:rPr>
          <w:bCs/>
          <w:b/>
        </w:rPr>
        <w:t xml:space="preserve">Keywords:</w:t>
      </w:r>
      <w:r>
        <w:t xml:space="preserve"> </w:t>
      </w:r>
      <w:r>
        <w:t xml:space="preserve">forced internationalization; small island developing states; firm performance; institutional voids; Pacific economies; labour productivity.</w:t>
      </w:r>
    </w:p>
    <w:p>
      <w:pPr>
        <w:pStyle w:val="BodyText"/>
      </w:pPr>
      <w:r>
        <w:rPr>
          <w:bCs/>
          <w:b/>
        </w:rPr>
        <w:t xml:space="preserve">JEL classification:</w:t>
      </w:r>
      <w:r>
        <w:t xml:space="preserve"> </w:t>
      </w:r>
      <w:r>
        <w:t xml:space="preserve">F23 (multinational firms; international business); O17 (formal and informal sectors; shadow economy; institutional arrangements); O56 (economywide country studies: Oceania); D22 (firm behaviour: empirical analysis); F14 (empirical studies of trade).</w:t>
      </w:r>
    </w:p>
    <w:p>
      <w:pPr>
        <w:pStyle w:val="BodyText"/>
      </w:pPr>
      <w:r>
        <w:rPr>
          <w:bCs/>
          <w:b/>
        </w:rPr>
        <w:t xml:space="preserve">Paper type:</w:t>
      </w:r>
      <w:r>
        <w:t xml:space="preserve"> </w:t>
      </w:r>
      <w:r>
        <w:t xml:space="preserve">Research paper.</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This study argues that certain structural conditions, characteristic of Small Island Developing States (SIDS), eliminate the prerequisites on which the inverted-U logic depends, and that they replace the expected non-linear pattern with a monotone negative one. This study terms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This study positions FIP as a structural boundary condition rather than a peripheral anomaly.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The two regimes are not different points on one curve but reflect different combinations of the three structural conditions; conventional theory characterizes the cases in which all three are satisfied, and FIP characterizes cases in which they are not. Empirically, identifying where the curve breaks down clarifies the structural prerequisites the conventional inverted-U logic assumes.</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it provides a structured naming and explicit empirical operationalization for the SIDS internationalization mechanism that the foundational SIDS literature (Briguglio, 1995; Bertram, 2006 MIRAB; Briguglio et al., 2009) has long analysed at the macro level. The three-prerequisite structure (non-viable home market, prohibitive trade costs, comprehensive institutional voids) is established; the contribution of this study is the firm-level operationalization, the FIP label that connects those macro constraints to the sign of the FSTS coefficient in I-P regressions, and the demonstration that this firm-level signature is recoverable in WBES data. This study distinguishes FIP from adjacent firm-level concepts including phase-1 costs in three-stage theory (Contractor et al., 2003), Liability of Foreignness (Zaheer, 1995), and necessity entrepreneurship (Sarasvathy et al., 2014). Second, it provides empirical evidence from 1,469 firms across nine Pacific and Indian Ocean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et al.,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2"/>
    <w:bookmarkStart w:id="27" w:name="theoretical-background-and-hypotheses"/>
    <w:p>
      <w:pPr>
        <w:pStyle w:val="Heading2"/>
      </w:pPr>
      <w:r>
        <w:t xml:space="preserve">2. Theoretical Background and Hypotheses</w:t>
      </w:r>
    </w:p>
    <w:bookmarkStart w:id="23"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3"/>
    <w:bookmarkStart w:id="24" w:name="Xb7db0e39015cb6f3662a52d47fb6342a9feb2fb"/>
    <w:p>
      <w:pPr>
        <w:pStyle w:val="Heading3"/>
      </w:pPr>
      <w:r>
        <w:t xml:space="preserve">2.2 Forced Internationalization Penalty: Theoretical Definition</w:t>
      </w:r>
    </w:p>
    <w:p>
      <w:pPr>
        <w:pStyle w:val="FirstParagraph"/>
      </w:pPr>
      <w:r>
        <w:t xml:space="preserve">This study defines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4"/>
    <w:bookmarkStart w:id="25"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the sample), domestic markets cannot sustain manufacturing or service firms at minimum efficient scale. Read (2004) demonstrated that the smallest island economies have effectively no choice architecture for export abstention. Firms either export or exit. This study terms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5"/>
    <w:bookmarkStart w:id="26"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6"/>
    <w:bookmarkEnd w:id="27"/>
    <w:bookmarkStart w:id="31" w:name="data-and-methods"/>
    <w:p>
      <w:pPr>
        <w:pStyle w:val="Heading2"/>
      </w:pPr>
      <w:r>
        <w:t xml:space="preserve">3. Data and Methods</w:t>
      </w:r>
    </w:p>
    <w:bookmarkStart w:id="28" w:name="data-source"/>
    <w:p>
      <w:pPr>
        <w:pStyle w:val="Heading3"/>
      </w:pPr>
      <w:r>
        <w:t xml:space="preserve">3.1 Data Source</w:t>
      </w:r>
    </w:p>
    <w:p>
      <w:pPr>
        <w:pStyle w:val="FirstParagraph"/>
      </w:pPr>
      <w:r>
        <w:t xml:space="preserve">This study uses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This study includes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8"/>
    <w:bookmarkStart w:id="29"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this study constructs FSTS (Foreign Sales to Total Sales) from WBES item d3c (percentage of sales exported), divided by 100. For the main models, FSTS is mean-centered at the wave level:</w:t>
      </w:r>
      <w:r>
        <w:t xml:space="preserve"> </w:t>
      </w:r>
      <m:oMath>
        <m:sSub>
          <m:e>
            <m:r>
              <m:rPr>
                <m:nor/>
                <m:sty m:val="p"/>
              </m:rPr>
              <m:t>FSTS</m:t>
            </m:r>
          </m:e>
          <m:sub>
            <m:r>
              <m:t>c</m:t>
            </m:r>
          </m:sub>
        </m:sSub>
      </m:oMath>
      <w:r>
        <w:t xml:space="preserve"> </w:t>
      </w:r>
      <w:r>
        <w:t xml:space="preserve">=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Following Lall (1992) and Goedhuys and Sleuwaegen (2013), TCI is constructed from two WBES items: b8 (internationally recognized quality certification, binary) and e6 (licensing of foreign technology, binary).</w:t>
      </w:r>
      <w:r>
        <w:t xml:space="preserve"> </w:t>
      </w:r>
      <m:oMath>
        <m:sSub>
          <m:e>
            <m:r>
              <m:rPr>
                <m:nor/>
                <m:sty m:val="p"/>
              </m:rPr>
              <m:t>TCI</m:t>
            </m:r>
          </m:e>
          <m:sub>
            <m:r>
              <m:t>z</m:t>
            </m:r>
          </m:sub>
        </m:sSub>
      </m:oMath>
      <w:r>
        <w:t xml:space="preserve"> </w:t>
      </w:r>
      <w:r>
        <w:t xml:space="preserve">is the z-standardized mean of these two indicators.</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w:t>
      </w:r>
      <w:r>
        <w:t xml:space="preserve"> </w:t>
      </w:r>
      <m:oMath>
        <m:sSub>
          <m:e>
            <m:r>
              <m:rPr>
                <m:nor/>
                <m:sty m:val="p"/>
              </m:rPr>
              <m:t>DAI</m:t>
            </m:r>
          </m:e>
          <m:sub>
            <m:r>
              <m:t>z</m:t>
            </m:r>
          </m:sub>
        </m:sSub>
      </m:oMath>
      <w:r>
        <w:t xml:space="preserve"> </w:t>
      </w:r>
      <w:r>
        <w:t xml:space="preserve">is the z-standardized value. This study does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across the full pooled sample. PPP conversion uses World Bank ICP deflators matched to survey year.</w:t>
      </w:r>
      <w:r>
        <w:t xml:space="preserve"> </w:t>
      </w:r>
      <m:oMath>
        <m:sSub>
          <m:e>
            <m:r>
              <m:rPr>
                <m:nor/>
                <m:sty m:val="p"/>
              </m:rPr>
              <m:t>FSTS</m:t>
            </m:r>
          </m:e>
          <m:sub>
            <m:r>
              <m:t>c</m:t>
            </m:r>
          </m:sub>
        </m:sSub>
      </m:oMath>
      <w:r>
        <w:t xml:space="preserve"> </w:t>
      </w:r>
      <w:r>
        <w:t xml:space="preserve">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9"/>
    <w:bookmarkStart w:id="30" w:name="model-sequence"/>
    <w:p>
      <w:pPr>
        <w:pStyle w:val="Heading3"/>
      </w:pPr>
      <w:r>
        <w:t xml:space="preserve">3.3 Model Sequence</w:t>
      </w:r>
    </w:p>
    <w:p>
      <w:pPr>
        <w:pStyle w:val="FirstParagraph"/>
      </w:pPr>
      <w:r>
        <w:t xml:space="preserve">The analysis estimates four model families to test H1 and H2:</w:t>
      </w:r>
    </w:p>
    <w:p>
      <w:pPr>
        <w:pStyle w:val="BodyText"/>
      </w:pPr>
      <w:r>
        <w:rPr>
          <w:bCs/>
          <w:b/>
        </w:rPr>
        <w:t xml:space="preserve">M0 (controls baseline)</w:t>
      </w:r>
      <w:r>
        <w:t xml:space="preserve">:</w:t>
      </w:r>
      <w:r>
        <w:t xml:space="preserve"> </w:t>
      </w:r>
      <w:r>
        <w:t xml:space="preserve">ln_LP_it =</w:t>
      </w:r>
      <w:r>
        <w:t xml:space="preserve"> </w:t>
      </w:r>
      <m:oMath>
        <m:r>
          <m:t>α</m:t>
        </m:r>
      </m:oMath>
      <w:r>
        <w:t xml:space="preserve"> </w:t>
      </w:r>
      <w:r>
        <w:t xml:space="preserve">+</w:t>
      </w:r>
      <w:r>
        <w:t xml:space="preserve"> </w:t>
      </w:r>
      <m:oMath>
        <m:r>
          <m:t>γ</m:t>
        </m:r>
      </m:oMath>
      <w:r>
        <w:t xml:space="preserve">₁ ln_size_it +</w:t>
      </w:r>
      <w:r>
        <w:t xml:space="preserve"> </w:t>
      </w:r>
      <m:oMath>
        <m:r>
          <m:t>γ</m:t>
        </m:r>
      </m:oMath>
      <w:r>
        <w:t xml:space="preserve">₂ firm_age_it +</w:t>
      </w:r>
      <w:r>
        <w:t xml:space="preserve"> </w:t>
      </w:r>
      <m:oMath>
        <m:r>
          <m:t>γ</m:t>
        </m:r>
      </m:oMath>
      <w:r>
        <w:t xml:space="preserve">₃ foreign_own_pct_it + δ_c +</w:t>
      </w:r>
      <w:r>
        <w:t xml:space="preserve"> </w:t>
      </w:r>
      <m:oMath>
        <m:r>
          <m:t>λ</m:t>
        </m:r>
      </m:oMath>
      <w:r>
        <w:t xml:space="preserve">_t +</w:t>
      </w:r>
      <w:r>
        <w:t xml:space="preserve"> </w:t>
      </w:r>
      <m:oMath>
        <m:r>
          <m:t>ϵ</m:t>
        </m:r>
      </m:oMath>
      <w:r>
        <w:t xml:space="preserve">_it</w:t>
      </w:r>
    </w:p>
    <w:p>
      <w:pPr>
        <w:pStyle w:val="BodyText"/>
      </w:pPr>
      <w:r>
        <w:rPr>
          <w:bCs/>
          <w:b/>
        </w:rPr>
        <w:t xml:space="preserve">M1 (linear FSTS, FIP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M2 (quadratic FSTS, curvature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M3 (capabilities, moderation null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sSub>
          <m:e>
            <m:r>
              <m:t>β</m:t>
            </m:r>
          </m:e>
          <m:sub>
            <m:r>
              <m:t>3</m:t>
            </m:r>
          </m:sub>
        </m:sSub>
      </m:oMath>
      <w:r>
        <w:t xml:space="preserve"> </w:t>
      </w:r>
      <m:oMath>
        <m:sSub>
          <m:e>
            <m:r>
              <m:rPr>
                <m:nor/>
                <m:sty m:val="p"/>
              </m:rPr>
              <m:t>TCI</m:t>
            </m:r>
          </m:e>
          <m:sub>
            <m:r>
              <m:t>z</m:t>
            </m:r>
          </m:sub>
        </m:sSub>
      </m:oMath>
      <w:r>
        <w:t xml:space="preserve">_it +</w:t>
      </w:r>
      <w:r>
        <w:t xml:space="preserve"> </w:t>
      </w:r>
      <m:oMath>
        <m:sSub>
          <m:e>
            <m:r>
              <m:t>β</m:t>
            </m:r>
          </m:e>
          <m:sub>
            <m:r>
              <m:t>4</m:t>
            </m:r>
          </m:sub>
        </m:sSub>
      </m:oMath>
      <w:r>
        <w:t xml:space="preserve"> </w:t>
      </w:r>
      <m:oMath>
        <m:sSub>
          <m:e>
            <m:r>
              <m:rPr>
                <m:nor/>
                <m:sty m:val="p"/>
              </m:rPr>
              <m:t>DAI</m:t>
            </m:r>
          </m:e>
          <m:sub>
            <m:r>
              <m:t>z</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t xml:space="preserve">where δ_c denotes country fixed effects,</w:t>
      </w:r>
      <w:r>
        <w:t xml:space="preserve"> </w:t>
      </w:r>
      <m:oMath>
        <m:r>
          <m:t>λ</m:t>
        </m:r>
      </m:oMath>
      <w:r>
        <w:t xml:space="preserve">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This study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30"/>
    <w:bookmarkEnd w:id="31"/>
    <w:bookmarkStart w:id="38" w:name="results"/>
    <w:p>
      <w:pPr>
        <w:pStyle w:val="Heading2"/>
      </w:pPr>
      <w:r>
        <w:t xml:space="preserve">4. Results</w:t>
      </w:r>
    </w:p>
    <w:bookmarkStart w:id="32" w:name="X7564ed8aad7671c5c72c9705a49a1794e1c47b3"/>
    <w:p>
      <w:pPr>
        <w:pStyle w:val="Heading3"/>
      </w:pPr>
      <w:r>
        <w:t xml:space="preserve">4.1 Sample Description and Preliminary Evidence</w:t>
      </w:r>
    </w:p>
    <w:p>
      <w:pPr>
        <w:pStyle w:val="FirstParagraph"/>
      </w:pPr>
      <w:r>
        <w:t xml:space="preserve">The analysis sample spans 1,469 firms across nine Pacific and Indian Ocean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w:t>
      </w:r>
      <w:r>
        <w:t xml:space="preserve"> </w:t>
      </w:r>
      <m:oMath>
        <m:sSup>
          <m:e>
            <m:r>
              <m:t>R</m:t>
            </m:r>
          </m:e>
          <m:sup>
            <m:r>
              <m:t>2</m:t>
            </m:r>
          </m:sup>
        </m:sSup>
      </m:oMath>
      <w:r>
        <w:t xml:space="preserve"> </w:t>
      </w:r>
      <w:r>
        <w:t xml:space="preserve">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2"/>
    <w:bookmarkStart w:id="33"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w:t>
      </w:r>
      <w:r>
        <w:t xml:space="preserve"> </w:t>
      </w:r>
      <m:oMath>
        <m:sSup>
          <m:e>
            <m:r>
              <m:t>R</m:t>
            </m:r>
          </m:e>
          <m:sup>
            <m:r>
              <m:t>2</m:t>
            </m:r>
          </m:sup>
        </m:sSup>
      </m:oMath>
      <w:r>
        <w:t xml:space="preserve"> </w:t>
      </w:r>
      <w:r>
        <w:t xml:space="preserve">of 0.7992, and adding</w:t>
      </w:r>
      <w:r>
        <w:t xml:space="preserve"> </w:t>
      </w:r>
      <m:oMath>
        <m:sSub>
          <m:e>
            <m:r>
              <m:rPr>
                <m:nor/>
                <m:sty m:val="p"/>
              </m:rPr>
              <m:t>FSTS</m:t>
            </m:r>
          </m:e>
          <m:sub>
            <m:r>
              <m:t>c</m:t>
            </m:r>
          </m:sub>
        </m:sSub>
      </m:oMath>
      <w:r>
        <w:t xml:space="preserve"> </w:t>
      </w:r>
      <w:r>
        <w:t xml:space="preserve">in M1 marginally increases</w:t>
      </w:r>
      <w:r>
        <w:t xml:space="preserve"> </w:t>
      </w:r>
      <m:oMath>
        <m:sSup>
          <m:e>
            <m:r>
              <m:t>R</m:t>
            </m:r>
          </m:e>
          <m:sup>
            <m:r>
              <m:t>2</m:t>
            </m:r>
          </m:sup>
        </m:sSup>
      </m:oMath>
      <w:r>
        <w:t xml:space="preserve"> </w:t>
      </w:r>
      <w:r>
        <w:t xml:space="preserve">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w:t>
      </w:r>
      <m:oMath>
        <m:r>
          <m:t>β</m:t>
        </m:r>
      </m:oMath>
      <w:r>
        <w:t xml:space="preserve"> </w:t>
      </w:r>
      <w:r>
        <w:t xml:space="preserve">= +0.009, p =.052); foreign ownership shows a marginally negative association (</w:t>
      </w:r>
      <m:oMath>
        <m:r>
          <m:t>β</m:t>
        </m:r>
      </m:oMath>
      <w:r>
        <w:t xml:space="preserve"> </w:t>
      </w:r>
      <w:r>
        <w:t xml:space="preserve">= −0.006, p =.056), perhaps reflecting thin foreign investment efficiency in SIDS contexts; firm size is positive but non-significant (</w:t>
      </w:r>
      <m:oMath>
        <m:r>
          <m:t>β</m:t>
        </m:r>
      </m:oMath>
      <w:r>
        <w:t xml:space="preserve"> </w:t>
      </w:r>
      <w:r>
        <w:t xml:space="preserve">= +0.082, p =.242).</w:t>
      </w:r>
    </w:p>
    <w:bookmarkEnd w:id="33"/>
    <w:bookmarkStart w:id="34"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w:t>
      </w:r>
      <w:r>
        <w:t xml:space="preserve"> </w:t>
      </w:r>
      <m:oMath>
        <m:sSubSup>
          <m:e>
            <m:r>
              <m:rPr>
                <m:nor/>
                <m:sty m:val="p"/>
              </m:rPr>
              <m:t>FSTS</m:t>
            </m:r>
          </m:e>
          <m:sub>
            <m:r>
              <m:t>c</m:t>
            </m:r>
          </m:sub>
          <m:sup>
            <m:r>
              <m:t>2</m:t>
            </m:r>
          </m:sup>
        </m:sSubSup>
      </m:oMath>
      <w:r>
        <w:t xml:space="preserve"> </w:t>
      </w:r>
      <w:r>
        <w:t xml:space="preserve">to test whether the negative I-P relationship is eventually reversed, i.e., whether there is any inverted-U pattern with the positive portion below the data range.</w:t>
      </w:r>
    </w:p>
    <w:p>
      <w:pPr>
        <w:pStyle w:val="BodyText"/>
      </w:pPr>
      <w:r>
        <w:t xml:space="preserve">The results are:</w:t>
      </w:r>
      <w:r>
        <w:t xml:space="preserve"> </w:t>
      </w:r>
      <m:oMath>
        <m:r>
          <m:t>β</m:t>
        </m:r>
      </m:oMath>
      <w:r>
        <w:t xml:space="preserve">(</w:t>
      </w:r>
      <m:oMath>
        <m:sSub>
          <m:e>
            <m:r>
              <m:rPr>
                <m:nor/>
                <m:sty m:val="p"/>
              </m:rPr>
              <m:t>FSTS</m:t>
            </m:r>
          </m:e>
          <m:sub>
            <m:r>
              <m:t>c</m:t>
            </m:r>
          </m:sub>
        </m:sSub>
      </m:oMath>
      <w:r>
        <w:t xml:space="preserve">) = −0.925, SE = 0.828, p =.265 (n.s.)</w:t>
      </w:r>
      <w:r>
        <w:t xml:space="preserve"> </w:t>
      </w:r>
      <m:oMath>
        <m:r>
          <m:t>β</m:t>
        </m:r>
      </m:oMath>
      <w:r>
        <w:t xml:space="preserve">(</w:t>
      </w:r>
      <m:oMath>
        <m:sSubSup>
          <m:e>
            <m:r>
              <m:rPr>
                <m:nor/>
                <m:sty m:val="p"/>
              </m:rPr>
              <m:t>FSTS</m:t>
            </m:r>
          </m:e>
          <m:sub>
            <m:r>
              <m:t>c</m:t>
            </m:r>
          </m:sub>
          <m:sup>
            <m:r>
              <m:t>2</m:t>
            </m:r>
          </m:sup>
        </m:sSubSup>
      </m:oMath>
      <w:r>
        <w:t xml:space="preserve">) = +0.649, SE = 0.980, p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2"/>
        </w:numPr>
        <w:pStyle w:val="Compact"/>
      </w:pPr>
      <w:r>
        <w:rPr>
          <w:bCs/>
          <w:b/>
        </w:rPr>
        <w:t xml:space="preserve">C1</w:t>
      </w:r>
      <w:r>
        <w:t xml:space="preserve"> </w:t>
      </w:r>
      <w:r>
        <w:t xml:space="preserve">(positive slope at low FSTS):</w:t>
      </w:r>
      <w:r>
        <w:t xml:space="preserve"> </w:t>
      </w:r>
      <m:oMath>
        <m:r>
          <m:t>β</m:t>
        </m:r>
      </m:oMath>
      <w:r>
        <w:t xml:space="preserve">(</w:t>
      </w:r>
      <m:oMath>
        <m:sSub>
          <m:e>
            <m:r>
              <m:rPr>
                <m:nor/>
                <m:sty m:val="p"/>
              </m:rPr>
              <m:t>FSTS</m:t>
            </m:r>
          </m:e>
          <m:sub>
            <m:r>
              <m:t>c</m:t>
            </m:r>
          </m:sub>
        </m:sSub>
      </m:oMath>
      <w:r>
        <w:t xml:space="preserve">) = −0.925 (</w:t>
      </w:r>
      <w:r>
        <w:rPr>
          <w:iCs/>
          <w:i/>
        </w:rPr>
        <w:t xml:space="preserve">p</w:t>
      </w:r>
      <w:r>
        <w:t xml:space="preserve"> </w:t>
      </w:r>
      <w:r>
        <w:t xml:space="preserve">=.265),</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w:t>
      </w:r>
      <w:r>
        <w:t xml:space="preserve"> </w:t>
      </w:r>
      <m:oMath>
        <m:sSub>
          <m:e>
            <m:r>
              <m:t>β</m:t>
            </m:r>
          </m:e>
          <m:sub>
            <m:r>
              <m:t>2</m:t>
            </m:r>
          </m:sub>
        </m:sSub>
      </m:oMath>
      <w:r>
        <w:t xml:space="preserve"> </w:t>
      </w:r>
      <w:r>
        <w:t xml:space="preserve">&lt; 0):</w:t>
      </w:r>
      <w:r>
        <w:t xml:space="preserve"> </w:t>
      </w:r>
      <m:oMath>
        <m:r>
          <m:t>β</m:t>
        </m:r>
      </m:oMath>
      <w:r>
        <w:t xml:space="preserve">(</w:t>
      </w:r>
      <m:oMath>
        <m:sSubSup>
          <m:e>
            <m:r>
              <m:rPr>
                <m:nor/>
                <m:sty m:val="p"/>
              </m:rPr>
              <m:t>FSTS</m:t>
            </m:r>
          </m:e>
          <m:sub>
            <m:r>
              <m:t>c</m:t>
            </m:r>
          </m:sub>
          <m:sup>
            <m:r>
              <m:t>2</m:t>
            </m:r>
          </m:sup>
        </m:sSubSup>
      </m:oMath>
      <w:r>
        <w:t xml:space="preserve">) = +0.649 (</w:t>
      </w:r>
      <w:r>
        <w:rPr>
          <w:iCs/>
          <w:i/>
        </w:rPr>
        <w:t xml:space="preserve">p</w:t>
      </w:r>
      <w:r>
        <w:t xml:space="preserve"> </w:t>
      </w:r>
      <w:r>
        <w:t xml:space="preserve">=.508),</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−(−0.925) / (2</w:t>
      </w:r>
      <w:r>
        <w:t xml:space="preserve"> </w:t>
      </w:r>
      <m:oMath>
        <m:r>
          <m:rPr>
            <m:sty m:val="p"/>
          </m:rPr>
          <m:t>×</m:t>
        </m:r>
      </m:oMath>
      <w:r>
        <w:t xml:space="preserve"> </w:t>
      </w:r>
      <w:r>
        <w:t xml:space="preserve">0.649) = 0.712,</w:t>
      </w:r>
      <w:r>
        <w:t xml:space="preserve"> </w:t>
      </w:r>
      <w:r>
        <w:rPr>
          <w:bCs/>
          <w:b/>
        </w:rPr>
        <w:t xml:space="preserve">implied turning point lies outside the observed sample maximum (</w:t>
      </w:r>
      <m:oMath>
        <m:sSub>
          <m:e>
            <m:r>
              <m:rPr>
                <m:nor/>
                <m:sty m:val="p"/>
              </m:rPr>
              <m:t>FSTS</m:t>
            </m:r>
          </m:e>
          <m:sub>
            <m:r>
              <m:t>m</m:t>
            </m:r>
          </m:sub>
        </m:sSub>
      </m:oMath>
      <w:r>
        <w:rPr>
          <w:bCs/>
          <w:b/>
        </w:rPr>
        <w:t xml:space="preserve">ax</w:t>
      </w:r>
      <w:r>
        <w:rPr>
          <w:bCs/>
          <w:b/>
        </w:rPr>
        <w:t xml:space="preserve"> </w:t>
      </w:r>
      <m:oMath>
        <m:r>
          <m:rPr>
            <m:sty m:val="p"/>
          </m:rPr>
          <m:t>≈</m:t>
        </m:r>
      </m:oMath>
      <w:r>
        <w:rPr>
          <w:bCs/>
          <w:b/>
        </w:rPr>
        <w:t xml:space="preserve"> </w:t>
      </w:r>
      <w:r>
        <w:rPr>
          <w:bCs/>
          <w:b/>
        </w:rPr>
        <w:t xml:space="preserve">0.80, but neither</w:t>
      </w:r>
      <w:r>
        <w:rPr>
          <w:bCs/>
          <w:b/>
        </w:rPr>
        <w:t xml:space="preserve"> </w:t>
      </w:r>
      <m:oMath>
        <m:sSub>
          <m:e>
            <m:r>
              <m:t>β</m:t>
            </m:r>
          </m:e>
          <m:sub>
            <m:r>
              <m:t>1</m:t>
            </m:r>
          </m:sub>
        </m:sSub>
      </m:oMath>
      <w:r>
        <w:rPr>
          <w:bCs/>
          <w:b/>
        </w:rPr>
        <w:t xml:space="preserve"> </w:t>
      </w:r>
      <w:r>
        <w:rPr>
          <w:bCs/>
          <w:b/>
        </w:rPr>
        <w:t xml:space="preserve">nor</w:t>
      </w:r>
      <w:r>
        <w:rPr>
          <w:bCs/>
          <w:b/>
        </w:rPr>
        <w:t xml:space="preserve"> </w:t>
      </w:r>
      <m:oMath>
        <m:sSub>
          <m:e>
            <m:r>
              <m:t>β</m:t>
            </m:r>
          </m:e>
          <m:sub>
            <m:r>
              <m:t>2</m:t>
            </m:r>
          </m:sub>
        </m:sSub>
      </m:oMath>
      <w:r>
        <w:rPr>
          <w:bCs/>
          <w:b/>
        </w:rPr>
        <w:t xml:space="preserve"> </w:t>
      </w:r>
      <w:r>
        <w:rPr>
          <w:bCs/>
          <w:b/>
        </w:rPr>
        <w:t xml:space="preserve">is statistically significant)</w:t>
      </w:r>
    </w:p>
    <w:p>
      <w:pPr>
        <w:numPr>
          <w:ilvl w:val="0"/>
          <w:numId w:val="1002"/>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4"/>
    <w:bookmarkStart w:id="35" w:name="robustness"/>
    <w:p>
      <w:pPr>
        <w:pStyle w:val="Heading3"/>
      </w:pPr>
      <w:r>
        <w:t xml:space="preserve">4.4 Robustness</w:t>
      </w:r>
    </w:p>
    <w:p>
      <w:pPr>
        <w:pStyle w:val="FirstParagraph"/>
      </w:pPr>
      <w:r>
        <w:t xml:space="preserve">This study examines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m:oMath>
        <m:r>
          <m:t>β</m:t>
        </m:r>
      </m:oMath>
      <w:r>
        <w:t xml:space="preserve">(FSTS)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m:oMath>
        <m:r>
          <m:t>β</m:t>
        </m:r>
      </m:oMath>
      <w:r>
        <w:t xml:space="preserve">(FSTS)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Specification M_wild_cluster_bootstrap (small-G inference validation)</w:t>
      </w:r>
      <w:r>
        <w:t xml:space="preserve">: Because the SIDS sample contains a small number of effective country clusters (G = 5 in the regression sample after listwise deletion on the control vector; G = 4 in the Pacific-only subsample), naive cluster-robust standard errors (Cameron-Gelbach-Miller 2008) may be misleading at conventional asymptotic critical values (Roodman et al. 2019). The Cameron-Gelbach-Miller (2008) wild-cluster Rademacher bootstrap with 999 replications is therefore reported as a small-G-robust inference check on the headline M1 β(FSTSc) estimate.</w:t>
      </w:r>
    </w:p>
    <w:p>
      <w:pPr>
        <w:pStyle w:val="BodyText"/>
      </w:pPr>
      <w:r>
        <w:t xml:space="preserve">For the full SIDS sample (N = 532 regression rows, G = 5), HC1 inference gives β(FSTSc) = −0.404, SE = 0.188, p =.031; naive cluster-robust SE gives p =.196 (CR1 over-conservative at small G); the wild-cluster bootstrap recovers p =.033, matching the HC1 reading. For the Pacific-only subsample (N = 415, G = 4), HC1 gives p =.068, naive cluster p =.295, and wild bootstrap p =.069 (again matching HC1). The wild-cluster bootstrap result validates the HC1 inference reported in §4 as not being an artefact of small-G cluster-robust standard errors; the headline FIP signal is statistically distinguishable at conventional thresholds under proper small-G-robust inference. Replication:</w:t>
      </w:r>
      <w:r>
        <w:t xml:space="preserve"> </w:t>
      </w:r>
      <w:r>
        <w:rPr>
          <w:rStyle w:val="VerbatimChar"/>
        </w:rPr>
        <w:t xml:space="preserve">p8/replication/do/03_p8_wild_cluster_bootstrap.do</w:t>
      </w:r>
      <w:r>
        <w:t xml:space="preserve"> </w:t>
      </w:r>
      <w:r>
        <w:t xml:space="preserve">(Stata</w:t>
      </w:r>
      <w:r>
        <w:t xml:space="preserve"> </w:t>
      </w:r>
      <w:r>
        <w:rPr>
          <w:rStyle w:val="VerbatimChar"/>
        </w:rPr>
        <w:t xml:space="preserve">boottest</w:t>
      </w:r>
      <w:r>
        <w:t xml:space="preserve"> </w:t>
      </w:r>
      <w:r>
        <w:t xml:space="preserve">package; mirrors the Python prototype 2026-06-03).</w:t>
      </w:r>
    </w:p>
    <w:p>
      <w:pPr>
        <w:pStyle w:val="BodyText"/>
      </w:pPr>
      <w:r>
        <w:rPr>
          <w:bCs/>
          <w:b/>
        </w:rPr>
        <w:t xml:space="preserve">Specification M_comoros_excluded (Comoros sensitivity)</w:t>
      </w:r>
      <w:r>
        <w:t xml:space="preserve">: Comoros is the only Indian Ocean SIDS in the sample (117 of 1,469 firms, 8.0%); the remaining eight economies are all Pacific. Re-estimating the full M1/M2/M3 pipeline with sample-specific FSTS centring on the Pacific-only subsample (N = 1,352) yields:</w:t>
      </w:r>
    </w:p>
    <w:p>
      <w:pPr>
        <w:pStyle w:val="BodyText"/>
      </w:pPr>
      <m:oMath>
        <m:r>
          <m:t>β</m:t>
        </m:r>
      </m:oMath>
      <w:r>
        <w:t xml:space="preserve">(FSTS</w:t>
      </w:r>
      <m:oMath>
        <m:sSub>
          <m:e>
            <m:r>
              <m:t>​</m:t>
            </m:r>
          </m:e>
          <m:sub>
            <m:r>
              <m:t>c</m:t>
            </m:r>
          </m:sub>
        </m:sSub>
      </m:oMath>
      <w:r>
        <w:t xml:space="preserve">) in M1 =</w:t>
      </w:r>
      <w:r>
        <w:t xml:space="preserve"> </w:t>
      </w:r>
      <w:r>
        <w:rPr>
          <w:bCs/>
          <w:b/>
        </w:rPr>
        <w:t xml:space="preserve">−0.357</w:t>
      </w:r>
      <w:r>
        <w:t xml:space="preserve">, SE = 0.196, p =.068 (marginal); M2 quadratic:</w:t>
      </w:r>
      <w:r>
        <w:t xml:space="preserve"> </w:t>
      </w:r>
      <m:oMath>
        <m:r>
          <m:t>β</m:t>
        </m:r>
      </m:oMath>
      <w:r>
        <w:t xml:space="preserve">(FSTS</w:t>
      </w:r>
      <m:oMath>
        <m:sSub>
          <m:e>
            <m:r>
              <m:t>​</m:t>
            </m:r>
          </m:e>
          <m:sub>
            <m:r>
              <m:t>c</m:t>
            </m:r>
          </m:sub>
        </m:sSub>
      </m:oMath>
      <w:r>
        <w:t xml:space="preserve">) = −1.059 (NS),</w:t>
      </w:r>
      <w:r>
        <w:t xml:space="preserve"> </w:t>
      </w:r>
      <m:oMath>
        <m:r>
          <m:t>β</m:t>
        </m:r>
      </m:oMath>
      <w:r>
        <w:t xml:space="preserve">(FSTS</w:t>
      </w:r>
      <m:oMath>
        <m:sSubSup>
          <m:e>
            <m:r>
              <m:t>​</m:t>
            </m:r>
          </m:e>
          <m:sub>
            <m:r>
              <m:t>c</m:t>
            </m:r>
          </m:sub>
          <m:sup>
            <m:r>
              <m:t>2</m:t>
            </m:r>
          </m:sup>
        </m:sSubSup>
      </m:oMath>
      <w:r>
        <w:t xml:space="preserve">) = +0.886 (NS); M3 with capability controls:</w:t>
      </w:r>
      <w:r>
        <w:t xml:space="preserve"> </w:t>
      </w:r>
      <m:oMath>
        <m:r>
          <m:t>β</m:t>
        </m:r>
      </m:oMath>
      <w:r>
        <w:t xml:space="preserve">(FSTS</w:t>
      </w:r>
      <m:oMath>
        <m:sSub>
          <m:e>
            <m:r>
              <m:t>​</m:t>
            </m:r>
          </m:e>
          <m:sub>
            <m:r>
              <m:t>c</m:t>
            </m:r>
          </m:sub>
        </m:sSub>
      </m:oMath>
      <w:r>
        <w:t xml:space="preserve">) = −1.136 (p =.188).</w:t>
      </w:r>
    </w:p>
    <w:p>
      <w:pPr>
        <w:pStyle w:val="BodyText"/>
      </w:pPr>
      <w:r>
        <w:t xml:space="preserve">The substantive FIP reading is preserved: the M1 coefficient remains negative with the same approximate magnitude, the quadratic term is null in both samples (no inverted-U turning point), and the capability moderators remain null. The M1 significance attenuates from</w:t>
      </w:r>
      <w:r>
        <w:t xml:space="preserve"> </w:t>
      </w:r>
      <m:oMath>
        <m:r>
          <m:t>p</m:t>
        </m:r>
        <m:r>
          <m:rPr>
            <m:sty m:val="p"/>
          </m:rPr>
          <m:t>=</m:t>
        </m:r>
        <m:r>
          <m:t>.032</m:t>
        </m:r>
      </m:oMath>
      <w:r>
        <w:t xml:space="preserve"> </w:t>
      </w:r>
      <w:r>
        <w:t xml:space="preserve">(full sample,</w:t>
      </w:r>
      <w:r>
        <w:t xml:space="preserve"> </w:t>
      </w:r>
      <m:oMath>
        <m:r>
          <m:t>β</m:t>
        </m:r>
        <m:r>
          <m:rPr>
            <m:sty m:val="p"/>
          </m:rPr>
          <m:t>=</m:t>
        </m:r>
        <m:r>
          <m:rPr>
            <m:sty m:val="p"/>
          </m:rPr>
          <m:t>−</m:t>
        </m:r>
        <m:r>
          <m:t>0.404</m:t>
        </m:r>
      </m:oMath>
      <w:r>
        <w:t xml:space="preserve">, N = 1,469) to</w:t>
      </w:r>
      <w:r>
        <w:t xml:space="preserve"> </w:t>
      </w:r>
      <m:oMath>
        <m:r>
          <m:t>p</m:t>
        </m:r>
        <m:r>
          <m:rPr>
            <m:sty m:val="p"/>
          </m:rPr>
          <m:t>=</m:t>
        </m:r>
        <m:r>
          <m:t>.068</m:t>
        </m:r>
      </m:oMath>
      <w:r>
        <w:t xml:space="preserve"> </w:t>
      </w:r>
      <w:r>
        <w:t xml:space="preserve">(Pacific-only,</w:t>
      </w:r>
      <w:r>
        <w:t xml:space="preserve"> </w:t>
      </w:r>
      <m:oMath>
        <m:r>
          <m:t>β</m:t>
        </m:r>
        <m:r>
          <m:rPr>
            <m:sty m:val="p"/>
          </m:rPr>
          <m:t>=</m:t>
        </m:r>
        <m:r>
          <m:rPr>
            <m:sty m:val="p"/>
          </m:rPr>
          <m:t>−</m:t>
        </m:r>
        <m:r>
          <m:t>0.357</m:t>
        </m:r>
      </m:oMath>
      <w:r>
        <w:t xml:space="preserve">, N = 1,352). The attenuation is consistent with the loss of 8.0 % of analysis-sample firms that all share the FIP characteristic, rather than indicating that the Indian Ocean economy was driving an artefactual FIP pattern. The structural interpretation (negative FSTS, no curvature, null moderators) is robust to the Indian Ocean exclusion; the title and abstract therefore retain the inclusive</w:t>
      </w:r>
      <w:r>
        <w:t xml:space="preserve"> </w:t>
      </w:r>
      <w:r>
        <w:t xml:space="preserve">“</w:t>
      </w:r>
      <w:r>
        <w:t xml:space="preserve">Pacific and Indian Ocean SIDS</w:t>
      </w:r>
      <w:r>
        <w:t xml:space="preserve">”</w:t>
      </w:r>
      <w:r>
        <w:t xml:space="preserve"> </w:t>
      </w:r>
      <w:r>
        <w:t xml:space="preserve">framing already adopted in Phase A1 (commit</w:t>
      </w:r>
      <w:r>
        <w:t xml:space="preserve"> </w:t>
      </w:r>
      <w:r>
        <w:rPr>
          <w:rStyle w:val="VerbatimChar"/>
        </w:rPr>
        <w:t xml:space="preserve">677a91e</w:t>
      </w:r>
      <w:r>
        <w:t xml:space="preserve">). Replication:</w:t>
      </w:r>
      <w:r>
        <w:t xml:space="preserve"> </w:t>
      </w:r>
      <w:r>
        <w:rPr>
          <w:rStyle w:val="VerbatimChar"/>
        </w:rPr>
        <w:t xml:space="preserve">p8/replication/do/02_p8_comoros_excluded.do</w:t>
      </w:r>
      <w:r>
        <w:t xml:space="preserve"> </w:t>
      </w:r>
      <w:r>
        <w:t xml:space="preserve">(Stata, mirrors the Python prototype 2026-06-03; coefficient targets documented in the do-file header).</w:t>
      </w:r>
    </w:p>
    <w:p>
      <w:pPr>
        <w:pStyle w:val="BodyText"/>
      </w:pPr>
      <w:r>
        <w:rPr>
          <w:bCs/>
          <w:b/>
        </w:rPr>
        <w:t xml:space="preserve">Specification M_LOO (leave-one-country-out sensitivity)</w:t>
      </w:r>
      <w:r>
        <w:t xml:space="preserve">: The regression sample (N = 532 after listwise deletion on the control vector) covers five effective country clusters: Comoros, Fiji, PapuaNewGuinea, TimorLeste, and Vanuatu. The remaining four SIDS (Kiribati, Samoa, SolomonIslands, Tonga) have foreign_own_pct missing in 100 % of observations, so they drop out of the regression sample under listwise deletion (see M_no_foreign_control below for the alternative specification recovering all nine). Within the five-cluster regression sample, leave-one-country-out re-estimation of M1 with sample-specific FSTS centring yields the following pattern. Removing</w:t>
      </w:r>
      <w:r>
        <w:t xml:space="preserve"> </w:t>
      </w:r>
      <w:r>
        <w:rPr>
          <w:bCs/>
          <w:b/>
        </w:rPr>
        <w:t xml:space="preserve">Timor-Leste</w:t>
      </w:r>
      <w:r>
        <w:t xml:space="preserve"> </w:t>
      </w:r>
      <w:r>
        <w:t xml:space="preserve">(which the reviewer flagged as a possible single-country driver at 26.8 % of the full analysis sample) does not weaken the FIP signal: it</w:t>
      </w:r>
      <w:r>
        <w:t xml:space="preserve"> </w:t>
      </w:r>
      <w:r>
        <w:rPr>
          <w:iCs/>
          <w:i/>
        </w:rPr>
        <w:t xml:space="preserve">strengthens</w:t>
      </w:r>
      <w:r>
        <w:t xml:space="preserve"> </w:t>
      </w:r>
      <w:r>
        <w:t xml:space="preserve">β(FSTSc) substantially to −1.266 (SE = 0.332, p =.0001). The hypothesis that Timor-Leste drives FIP is rejected. Removing</w:t>
      </w:r>
      <w:r>
        <w:t xml:space="preserve"> </w:t>
      </w:r>
      <w:r>
        <w:rPr>
          <w:bCs/>
          <w:b/>
        </w:rPr>
        <w:t xml:space="preserve">Fiji</w:t>
      </w:r>
      <w:r>
        <w:t xml:space="preserve"> </w:t>
      </w:r>
      <w:r>
        <w:t xml:space="preserve">is the only LOO specification that meaningfully attenuates the signal (β(FSTSc) = −0.171, p =.383). Removing</w:t>
      </w:r>
      <w:r>
        <w:t xml:space="preserve"> </w:t>
      </w:r>
      <w:r>
        <w:rPr>
          <w:bCs/>
          <w:b/>
        </w:rPr>
        <w:t xml:space="preserve">Comoros</w:t>
      </w:r>
      <w:r>
        <w:t xml:space="preserve">,</w:t>
      </w:r>
      <w:r>
        <w:t xml:space="preserve"> </w:t>
      </w:r>
      <w:r>
        <w:rPr>
          <w:bCs/>
          <w:b/>
        </w:rPr>
        <w:t xml:space="preserve">PapuaNewGuinea</w:t>
      </w:r>
      <w:r>
        <w:t xml:space="preserve">, or</w:t>
      </w:r>
      <w:r>
        <w:t xml:space="preserve"> </w:t>
      </w:r>
      <w:r>
        <w:rPr>
          <w:bCs/>
          <w:b/>
        </w:rPr>
        <w:t xml:space="preserve">Vanuatu</w:t>
      </w:r>
      <w:r>
        <w:t xml:space="preserve"> </w:t>
      </w:r>
      <w:r>
        <w:t xml:space="preserve">changes the FIP magnitude modestly while preserving statistical significance (β between −0.357 and −0.400; p between.037 and.068). Substantively, the FIP claim is not single-country-driven; the magnitude is sensitive to the Pacific cohort composition, but the negative direction is preserved across all LOO specifications. Replication:</w:t>
      </w:r>
      <w:r>
        <w:t xml:space="preserve"> </w:t>
      </w:r>
      <w:r>
        <w:rPr>
          <w:rStyle w:val="VerbatimChar"/>
        </w:rPr>
        <w:t xml:space="preserve">p8/replication/do/04_p8_loo_and_attrition.do</w:t>
      </w:r>
      <w:r>
        <w:t xml:space="preserve">.</w:t>
      </w:r>
    </w:p>
    <w:p>
      <w:pPr>
        <w:pStyle w:val="BodyText"/>
      </w:pPr>
      <w:r>
        <w:rPr>
          <w:bCs/>
          <w:b/>
        </w:rPr>
        <w:t xml:space="preserve">Specification M_no_foreign_control (attrition diagnostic)</w:t>
      </w:r>
      <w:r>
        <w:t xml:space="preserve">: The 1,457 → 532 attrition in the regression sample (64 % drop) is not random and is concentrated at the</w:t>
      </w:r>
      <w:r>
        <w:t xml:space="preserve"> </w:t>
      </w:r>
      <w:r>
        <w:rPr>
          <w:rStyle w:val="VerbatimChar"/>
        </w:rPr>
        <w:t xml:space="preserve">foreign_own_pct</w:t>
      </w:r>
      <w:r>
        <w:t xml:space="preserve"> </w:t>
      </w:r>
      <w:r>
        <w:t xml:space="preserve">(b2b) control variable. Foreign ownership is missing in 100 % of observations for four of the nine SIDS economies (Kiribati, Samoa, Solomon Islands, Tonga) and in 42–57 % of observations for the remaining five. A Heckman two-step correction is not identified under country fixed effects because country FE perfectly predict</w:t>
      </w:r>
      <w:r>
        <w:t xml:space="preserve"> </w:t>
      </w:r>
      <w:r>
        <w:rPr>
          <w:rStyle w:val="VerbatimChar"/>
        </w:rPr>
        <w:t xml:space="preserve">foreign_own_pct</w:t>
      </w:r>
      <w:r>
        <w:t xml:space="preserve"> </w:t>
      </w:r>
      <w:r>
        <w:t xml:space="preserve">missingness for the four 100 %-missing economies (the first-stage probit is degenerate). The appropriate substantive robustness is therefore re-estimation of M1 without foreign_own_pct as a control, which recovers all nine SIDS economies in the regression sample (N = 1,457). The result strengthens the headline FIP: β(FSTSc) =</w:t>
      </w:r>
      <w:r>
        <w:t xml:space="preserve"> </w:t>
      </w:r>
      <w:r>
        <w:rPr>
          <w:bCs/>
          <w:b/>
        </w:rPr>
        <w:t xml:space="preserve">−0.514</w:t>
      </w:r>
      <w:r>
        <w:t xml:space="preserve">, SE = 0.192, p =</w:t>
      </w:r>
      <w:r>
        <w:t xml:space="preserve"> </w:t>
      </w:r>
      <w:r>
        <w:rPr>
          <w:bCs/>
          <w:b/>
        </w:rPr>
        <w:t xml:space="preserve">.007</w:t>
      </w:r>
      <w:r>
        <w:t xml:space="preserve">. The FIP signal is therefore not an artefact of selection-into-the-foreign-ownership-reporting sub-sample; it is in fact stronger when the full SIDS frame is recovered. The M3 → M1 sample reduction (526 → 532) is trivial (6 obs, 1.1 %) and is not the substantive attrition concern. Replication:</w:t>
      </w:r>
      <w:r>
        <w:t xml:space="preserve"> </w:t>
      </w:r>
      <w:r>
        <w:rPr>
          <w:rStyle w:val="VerbatimChar"/>
        </w:rPr>
        <w:t xml:space="preserve">p8/replication/do/04_p8_loo_and_attrition.do</w:t>
      </w:r>
      <w:r>
        <w:t xml:space="preserve">.</w:t>
      </w:r>
    </w:p>
    <w:p>
      <w:pPr>
        <w:pStyle w:val="BodyText"/>
      </w:pPr>
      <w:r>
        <w:rPr>
          <w:bCs/>
          <w:b/>
        </w:rPr>
        <w:t xml:space="preserve">Exporters-only subsample</w:t>
      </w:r>
      <w:r>
        <w:t xml:space="preserve"> </w:t>
      </w:r>
      <w:r>
        <w:t xml:space="preserve">(N = 187): Among the 187 active exporters (FSTS &gt; 0), the negative effect is: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5"/>
    <w:bookmarkStart w:id="36" w:name="capability-null-results-h2"/>
    <w:p>
      <w:pPr>
        <w:pStyle w:val="Heading3"/>
      </w:pPr>
      <w:r>
        <w:t xml:space="preserve">4.5 Capability Null Results (H2)</w:t>
      </w:r>
    </w:p>
    <w:p>
      <w:pPr>
        <w:pStyle w:val="FirstParagraph"/>
      </w:pPr>
      <w:r>
        <w:rPr>
          <w:bCs/>
          <w:b/>
        </w:rPr>
        <w:t xml:space="preserve">M3</w:t>
      </w:r>
      <w:r>
        <w:t xml:space="preserve"> </w:t>
      </w:r>
      <w:r>
        <w:t xml:space="preserve">introduces</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as additional regressors to test H2. Neither variable achieves statistical significance:</w:t>
      </w:r>
    </w:p>
    <w:p>
      <w:pPr>
        <w:pStyle w:val="BodyText"/>
      </w:pPr>
      <m:oMath>
        <m:r>
          <m:t>β</m:t>
        </m:r>
      </m:oMath>
      <w:r>
        <w:t xml:space="preserve">(</w:t>
      </w:r>
      <m:oMath>
        <m:sSub>
          <m:e>
            <m:r>
              <m:rPr>
                <m:nor/>
                <m:sty m:val="p"/>
              </m:rPr>
              <m:t>TCI</m:t>
            </m:r>
          </m:e>
          <m:sub>
            <m:r>
              <m:t>z</m:t>
            </m:r>
          </m:sub>
        </m:sSub>
      </m:oMath>
      <w:r>
        <w:t xml:space="preserve">) = +0.058, SE = 0.085, p =.495 (n.s.)</w:t>
      </w:r>
      <w:r>
        <w:t xml:space="preserve"> </w:t>
      </w:r>
      <m:oMath>
        <m:r>
          <m:t>β</m:t>
        </m:r>
      </m:oMath>
      <w:r>
        <w:t xml:space="preserve">(</w:t>
      </w:r>
      <m:oMath>
        <m:sSub>
          <m:e>
            <m:r>
              <m:rPr>
                <m:nor/>
                <m:sty m:val="p"/>
              </m:rPr>
              <m:t>DAI</m:t>
            </m:r>
          </m:e>
          <m:sub>
            <m:r>
              <m:t>z</m:t>
            </m:r>
          </m:sub>
        </m:sSub>
      </m:oMath>
      <w:r>
        <w:t xml:space="preserve">) = +0.062, SE = 0.073, p =.402 (n.s.)</w:t>
      </w:r>
    </w:p>
    <w:p>
      <w:pPr>
        <w:pStyle w:val="BodyText"/>
      </w:pPr>
      <w:r>
        <w:t xml:space="preserve">The FIP coefficient (</w:t>
      </w:r>
      <m:oMath>
        <m:sSub>
          <m:e>
            <m:r>
              <m:rPr>
                <m:nor/>
                <m:sty m:val="p"/>
              </m:rPr>
              <m:t>FSTS</m:t>
            </m:r>
          </m:e>
          <m:sub>
            <m:r>
              <m:t>c</m:t>
            </m:r>
          </m:sub>
        </m:sSub>
      </m:oMath>
      <w:r>
        <w:t xml:space="preserve">) remains negative but loses significance in M3 (</w:t>
      </w:r>
      <m:oMath>
        <m:r>
          <m:t>β</m:t>
        </m:r>
      </m:oMath>
      <w:r>
        <w:t xml:space="preserve"> </w:t>
      </w:r>
      <w:r>
        <w:t xml:space="preserve">= −0.974, p =.252), likely reflecting the substantially reduced sample (N = 526 for M3, versus N = 1,469 for M1, due to missing capability variables). The direction of the</w:t>
      </w:r>
      <w:r>
        <w:t xml:space="preserve"> </w:t>
      </w:r>
      <m:oMath>
        <m:sSub>
          <m:e>
            <m:r>
              <m:rPr>
                <m:nor/>
                <m:sty m:val="p"/>
              </m:rPr>
              <m:t>FSTS</m:t>
            </m:r>
          </m:e>
          <m:sub>
            <m:r>
              <m:t>c</m:t>
            </m:r>
          </m:sub>
        </m:sSub>
      </m:oMath>
      <w:r>
        <w:t xml:space="preserve"> </w:t>
      </w:r>
      <w:r>
        <w:t xml:space="preserve">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w:t>
      </w:r>
      <m:oMath>
        <m:sSub>
          <m:e>
            <m:r>
              <m:rPr>
                <m:nor/>
                <m:sty m:val="p"/>
              </m:rPr>
              <m:t>TCI</m:t>
            </m:r>
          </m:e>
          <m:sub>
            <m:r>
              <m:t>z</m:t>
            </m:r>
          </m:sub>
        </m:sSub>
      </m:oMath>
      <w:r>
        <w:t xml:space="preserve">:</w:t>
      </w:r>
      <w:r>
        <w:t xml:space="preserve"> </w:t>
      </w:r>
      <m:oMath>
        <m:r>
          <m:t>β</m:t>
        </m:r>
      </m:oMath>
      <w:r>
        <w:t xml:space="preserve"> </w:t>
      </w:r>
      <w:r>
        <w:t xml:space="preserve">= +0.058, SE = 0.085, p =.495) and digital adoption (</w:t>
      </w:r>
      <m:oMath>
        <m:sSub>
          <m:e>
            <m:r>
              <m:rPr>
                <m:nor/>
                <m:sty m:val="p"/>
              </m:rPr>
              <m:t>DAI</m:t>
            </m:r>
          </m:e>
          <m:sub>
            <m:r>
              <m:t>z</m:t>
            </m:r>
          </m:sub>
        </m:sSub>
      </m:oMath>
      <w:r>
        <w:t xml:space="preserve">:</w:t>
      </w:r>
      <w:r>
        <w:t xml:space="preserve"> </w:t>
      </w:r>
      <m:oMath>
        <m:r>
          <m:t>β</m:t>
        </m:r>
      </m:oMath>
      <w:r>
        <w:t xml:space="preserve"> </w:t>
      </w:r>
      <w:r>
        <w:t xml:space="preserve">= +0.062, SE = 0.073, p =.402) do not statistically significantly moderate the I-P relationship in Pacific SIDS, consistent with the FIP mechanism overwhelming capability effects in structurally constrained SIDS economies. The positive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6"/>
    <w:bookmarkStart w:id="37"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w:t>
      </w:r>
      <w:r>
        <w:t xml:space="preserve"> </w:t>
      </w:r>
      <m:oMath>
        <m:r>
          <m:t>β</m:t>
        </m:r>
      </m:oMath>
      <w:r>
        <w:t xml:space="preserve"> </w:t>
      </w:r>
      <w:r>
        <w:t xml:space="preserve">= −0.404, p =.032); (ii) no significant quadratic curvature or turning point (M2: both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non-significant); (iii) robustly negative across four specifications (M_yearFE:</w:t>
      </w:r>
      <w:r>
        <w:t xml:space="preserve"> </w:t>
      </w:r>
      <m:oMath>
        <m:r>
          <m:t>β</m:t>
        </m:r>
      </m:oMath>
      <w:r>
        <w:t xml:space="preserve"> </w:t>
      </w:r>
      <w:r>
        <w:t xml:space="preserve">= −1.236, p &lt;.001; M_bivariate:</w:t>
      </w:r>
      <w:r>
        <w:t xml:space="preserve"> </w:t>
      </w:r>
      <m:oMath>
        <m:r>
          <m:t>β</m:t>
        </m:r>
      </m:oMath>
      <w:r>
        <w:t xml:space="preserve"> </w:t>
      </w:r>
      <w:r>
        <w:t xml:space="preserve">= −1.596, p &lt;.001; exporters-only:</w:t>
      </w:r>
      <w:r>
        <w:t xml:space="preserve"> </w:t>
      </w:r>
      <m:oMath>
        <m:r>
          <m:t>β</m:t>
        </m:r>
      </m:oMath>
      <w:r>
        <w:t xml:space="preserve"> </w:t>
      </w:r>
      <w:r>
        <w:t xml:space="preserve">= −0.901, p =.027); and (iv) null capability moderation (M3:</w:t>
      </w:r>
      <w:r>
        <w:t xml:space="preserve"> </w:t>
      </w:r>
      <m:oMath>
        <m:sSub>
          <m:e>
            <m:r>
              <m:rPr>
                <m:nor/>
                <m:sty m:val="p"/>
              </m:rPr>
              <m:t>TCI</m:t>
            </m:r>
          </m:e>
          <m:sub>
            <m:r>
              <m:t>z</m:t>
            </m:r>
          </m:sub>
        </m:sSub>
      </m:oMath>
      <w:r>
        <w:t xml:space="preserve"> </w:t>
      </w:r>
      <w:r>
        <w:t xml:space="preserve">p =.495;</w:t>
      </w:r>
      <w:r>
        <w:t xml:space="preserve"> </w:t>
      </w:r>
      <m:oMath>
        <m:sSub>
          <m:e>
            <m:r>
              <m:rPr>
                <m:nor/>
                <m:sty m:val="p"/>
              </m:rPr>
              <m:t>DAI</m:t>
            </m:r>
          </m:e>
          <m:sub>
            <m:r>
              <m:t>z</m:t>
            </m:r>
          </m:sub>
        </m:sSub>
      </m:oMath>
      <w:r>
        <w:t xml:space="preserve"> </w:t>
      </w:r>
      <w:r>
        <w:t xml:space="preserve">p =.402).</w:t>
      </w:r>
    </w:p>
    <w:p>
      <w:r>
        <w:pict>
          <v:rect style="width:0;height:1.5pt" o:hralign="center" o:hrstd="t" o:hr="t"/>
        </w:pict>
      </w:r>
    </w:p>
    <w:bookmarkEnd w:id="37"/>
    <w:bookmarkEnd w:id="38"/>
    <w:bookmarkStart w:id="44" w:name="discussion"/>
    <w:p>
      <w:pPr>
        <w:pStyle w:val="Heading2"/>
      </w:pPr>
      <w:r>
        <w:t xml:space="preserve">5. Discussion</w:t>
      </w:r>
    </w:p>
    <w:bookmarkStart w:id="39" w:name="Xd4d8ec5bfb52f8d3fe2e7c438ba390b633573fa"/>
    <w:p>
      <w:pPr>
        <w:pStyle w:val="Heading3"/>
      </w:pPr>
      <w:r>
        <w:t xml:space="preserve">5.1 FIP as Boundary Condition for the Inverted-U Paradigm</w:t>
      </w:r>
    </w:p>
    <w:p>
      <w:pPr>
        <w:pStyle w:val="FirstParagraph"/>
      </w:pPr>
      <w:r>
        <w:t xml:space="preserve">The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9"/>
    <w:bookmarkStart w:id="40"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The present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40"/>
    <w:bookmarkStart w:id="41" w:name="X83134c98a606fe0940406da95e076e069d717cc"/>
    <w:p>
      <w:pPr>
        <w:pStyle w:val="Heading3"/>
      </w:pPr>
      <w:r>
        <w:t xml:space="preserve">5.3 The Capability Null: Institutional Determination vs. Moderation</w:t>
      </w:r>
    </w:p>
    <w:p>
      <w:pPr>
        <w:pStyle w:val="FirstParagraph"/>
      </w:pPr>
      <w:r>
        <w:t xml:space="preserve">The null results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1"/>
    <w:bookmarkStart w:id="42" w:name="Xf8f5a8a03ba0839ca8278bd9312f3d61be61a50"/>
    <w:p>
      <w:pPr>
        <w:pStyle w:val="Heading3"/>
      </w:pPr>
      <w:r>
        <w:t xml:space="preserve">5.4 Policy Implications: The Antigua and Barbuda Agenda</w:t>
      </w:r>
    </w:p>
    <w:p>
      <w:pPr>
        <w:pStyle w:val="FirstParagraph"/>
      </w:pPr>
      <w:r>
        <w:t xml:space="preserve">The present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The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2"/>
    <w:bookmarkStart w:id="43" w:name="limitations"/>
    <w:p>
      <w:pPr>
        <w:pStyle w:val="Heading3"/>
      </w:pPr>
      <w:r>
        <w:t xml:space="preserve">5.5 Limitations</w:t>
      </w:r>
    </w:p>
    <w:p>
      <w:pPr>
        <w:pStyle w:val="FirstParagraph"/>
      </w:pPr>
      <w:r>
        <w:t xml:space="preserve">Several limitations bound the interpretation of the present findings.</w:t>
      </w:r>
    </w:p>
    <w:p>
      <w:pPr>
        <w:pStyle w:val="BodyText"/>
      </w:pPr>
      <w:r>
        <w:t xml:space="preserve">First,</w:t>
      </w:r>
      <w:r>
        <w:t xml:space="preserve"> </w:t>
      </w:r>
      <w:r>
        <w:rPr>
          <w:bCs/>
          <w:b/>
        </w:rPr>
        <w:t xml:space="preserve">cross-sectional pooled structure</w:t>
      </w:r>
      <w:r>
        <w:t xml:space="preserve">: although this study pools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the sample, represent a natural extension context.</w:t>
      </w:r>
    </w:p>
    <w:p>
      <w:r>
        <w:pict>
          <v:rect style="width:0;height:1.5pt" o:hralign="center" o:hrstd="t" o:hr="t"/>
        </w:pict>
      </w:r>
    </w:p>
    <w:bookmarkEnd w:id="43"/>
    <w:bookmarkEnd w:id="44"/>
    <w:bookmarkStart w:id="45"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and Indian Ocean SIDS economies, the results show robust support for FIP across four empirical specifications (</w:t>
      </w:r>
      <m:oMath>
        <m:r>
          <m:t>β</m:t>
        </m:r>
      </m:oMath>
      <w:r>
        <w:t xml:space="preserve"> </w:t>
      </w:r>
      <w:r>
        <w:t xml:space="preserve">= −0.404, p =.032 in the primary country-and-year fixed-effects model;</w:t>
      </w:r>
      <w:r>
        <w:t xml:space="preserve"> </w:t>
      </w:r>
      <m:oMath>
        <m:r>
          <m:t>β</m:t>
        </m:r>
      </m:oMath>
      <w:r>
        <w:t xml:space="preserve"> </w:t>
      </w:r>
      <w:r>
        <w:t xml:space="preserve">= −1.236, p &lt;.001 without country fixed effects;</w:t>
      </w:r>
      <w:r>
        <w:t xml:space="preserve"> </w:t>
      </w:r>
      <m:oMath>
        <m:r>
          <m:t>β</m:t>
        </m:r>
      </m:oMath>
      <w:r>
        <w:t xml:space="preserve"> </w:t>
      </w:r>
      <w:r>
        <w:t xml:space="preserve">= −0.901, p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5"/>
    <w:bookmarkStart w:id="46" w:name="acknowledgements"/>
    <w:p>
      <w:pPr>
        <w:pStyle w:val="Heading2"/>
      </w:pPr>
      <w:r>
        <w:t xml:space="preserve">Acknowledgements</w:t>
      </w:r>
    </w:p>
    <w:p>
      <w:pPr>
        <w:pStyle w:val="FirstParagraph"/>
      </w:pPr>
      <w:r>
        <w:t xml:space="preserve">Source: World Bank Enterprise Surveys (WBES),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bookmarkEnd w:id="46"/>
    <w:bookmarkStart w:id="47"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47"/>
    <w:bookmarkStart w:id="48"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bookmarkEnd w:id="48"/>
    <w:bookmarkStart w:id="49" w:name="credit-author-statement"/>
    <w:p>
      <w:pPr>
        <w:pStyle w:val="Heading2"/>
      </w:pPr>
      <w:r>
        <w:t xml:space="preserve">CRediT Author Statement</w:t>
      </w:r>
    </w:p>
    <w:p>
      <w:pPr>
        <w:pStyle w:val="FirstParagraph"/>
      </w:pPr>
      <w:r>
        <w:rPr>
          <w:iCs/>
          <w:i/>
        </w:rPr>
        <w:t xml:space="preserve">Author 1 (corresponding):</w:t>
      </w:r>
      <w:r>
        <w:t xml:space="preserve"> </w:t>
      </w:r>
      <w:r>
        <w:t xml:space="preserve">Conceptualization, Methodology, Data curation, Formal analysis, Writing, original draft.</w:t>
      </w:r>
      <w:r>
        <w:t xml:space="preserve"> </w:t>
      </w:r>
      <w:r>
        <w:rPr>
          <w:iCs/>
          <w:i/>
        </w:rPr>
        <w:t xml:space="preserve">Author 2:</w:t>
      </w:r>
      <w:r>
        <w:t xml:space="preserve"> </w:t>
      </w:r>
      <w:r>
        <w:t xml:space="preserve">Conceptualization, Methodology, Writing, review &amp; editing, Supervision. (Full author identities provided in separate Title Page; CRediT terms per Brand et al., 2015.)</w:t>
      </w:r>
    </w:p>
    <w:bookmarkEnd w:id="49"/>
    <w:bookmarkStart w:id="50" w:name="Xfd35355eaff5be7167e13ac5f8f9ba5509cc5e8"/>
    <w:p>
      <w:pPr>
        <w:pStyle w:val="Heading2"/>
      </w:pPr>
      <w:r>
        <w:t xml:space="preserve">Declaration of Generative AI and AI-Assisted Technologies</w:t>
      </w:r>
    </w:p>
    <w:p>
      <w:pPr>
        <w:pStyle w:val="FirstParagraph"/>
      </w:pPr>
      <w:r>
        <w:t xml:space="preserve">During the preparation of this work the authors used large-language-model assistants to support: (i) language polishing of draft prose at the sentence level; (ii) consistency checking of statistical notation and APA 7 reference formatting; and (iii) preliminary screening of WBES variable codes against the harmonisation protocol. After using these tools, the authors reviewed and edited the content as needed and take full responsibility for the content of the published article. No AI tool was used for analytic decisions, hypothesis development, or interpretation of empirical results.</w:t>
      </w:r>
    </w:p>
    <w:bookmarkEnd w:id="50"/>
    <w:bookmarkStart w:id="51" w:name="data-availability-statement"/>
    <w:p>
      <w:pPr>
        <w:pStyle w:val="Heading2"/>
      </w:pPr>
      <w:r>
        <w:t xml:space="preserve">Data Availability Statement</w:t>
      </w:r>
    </w:p>
    <w:p>
      <w:pPr>
        <w:pStyle w:val="FirstParagraph"/>
      </w:pPr>
      <w:r>
        <w:t xml:space="preserve">The World Bank Enterprise Survey microdata used in this study are publicly available at https://www.enterprisesurveys.org (accessed during May 2025–April 2026 for the nine Pacific SIDS waves analysed). The harmonisation protocol, derived variable construction code, and replication scripts that reproduce the regression results reported in §4 are available from the corresponding author on reasonable request; a fully anonymised replication archive will be deposited on OSF upon acceptance.</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Bertram, G. (2006). The MIRAB model in the twenty-first century.</w:t>
      </w:r>
      <w:r>
        <w:t xml:space="preserve"> </w:t>
      </w:r>
      <w:r>
        <w:rPr>
          <w:iCs/>
          <w:i/>
        </w:rPr>
        <w:t xml:space="preserve">Asia Pacific Viewpoint, 47</w:t>
      </w:r>
      <w:r>
        <w:t xml:space="preserve">(1), 1–13. https://doi.org/10.1111/j.1467-8373.2006.00296.x</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w:t>
      </w:r>
      <w:r>
        <w:t xml:space="preserve"> </w:t>
      </w:r>
      <w:r>
        <w:rPr>
          <w:iCs/>
          <w:i/>
        </w:rPr>
        <w:t xml:space="preserve">Slow progress: Development indicators in the 2020s</w:t>
      </w:r>
      <w:r>
        <w:t xml:space="preserve">. World Bank Group. https://www.worldbank.org/en/research/brief/global-development-progress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2"/>
    <w:bookmarkStart w:id="56" w:name="appendix-a-tables"/>
    <w:p>
      <w:pPr>
        <w:pStyle w:val="Heading2"/>
      </w:pPr>
      <w:r>
        <w:t xml:space="preserve">Appendix A: Tables</w:t>
      </w:r>
    </w:p>
    <w:bookmarkStart w:id="53"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53"/>
    <w:bookmarkStart w:id="54"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&lt;.001; ** p &lt;.01; * p &lt;.05;. p &lt;.10.</w:t>
      </w:r>
    </w:p>
    <w:p>
      <w:pPr>
        <w:pStyle w:val="BodyText"/>
      </w:pPr>
      <w:r>
        <w:rPr>
          <w:iCs/>
          <w:i/>
        </w:rPr>
        <w:t xml:space="preserve">Forced Internationalization Penalty (FIP): Confirmed,</w:t>
      </w:r>
      <w:r>
        <w:rPr>
          <w:iCs/>
          <w:i/>
        </w:rPr>
        <w:t xml:space="preserve"> </w:t>
      </w:r>
      <m:oMath>
        <m:r>
          <m:t>β</m:t>
        </m:r>
      </m:oMath>
      <w:r>
        <w:rPr>
          <w:iCs/>
          <w:i/>
        </w:rPr>
        <w:t xml:space="preserve">(</w:t>
      </w:r>
      <m:oMath>
        <m:sSub>
          <m:e>
            <m:r>
              <m:rPr>
                <m:nor/>
                <m:sty m:val="p"/>
              </m:rPr>
              <m:t>FSTS</m:t>
            </m:r>
          </m:e>
          <m:sub>
            <m:r>
              <m:t>c</m:t>
            </m:r>
          </m:sub>
        </m:sSub>
      </m:oMath>
      <w:r>
        <w:rPr>
          <w:iCs/>
          <w:i/>
        </w:rPr>
        <w:t xml:space="preserve">) = −0.404, p =.032 (M1).</w:t>
      </w:r>
    </w:p>
    <w:bookmarkEnd w:id="54"/>
    <w:bookmarkStart w:id="55"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oMath>
      <w:r>
        <w:rPr>
          <w:iCs/>
          <w:i/>
        </w:rPr>
        <w:t xml:space="preserve"> </w:t>
      </w:r>
      <w:r>
        <w:rPr>
          <w:iCs/>
          <w:i/>
        </w:rPr>
        <w:t xml:space="preserve">= −0.901) addresses adverse selection concern: among active exporters, intensifying exports further worsens performance.</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2026-06-03T07:36:59Z</dcterms:created>
  <dcterms:modified xsi:type="dcterms:W3CDTF">2026-06-03T07:36:59Z</dcterms:modified>
</cp:coreProperties>
</file>

<file path=docProps/custom.xml><?xml version="1.0" encoding="utf-8"?>
<Properties xmlns="http://schemas.openxmlformats.org/officeDocument/2006/custom-properties" xmlns:vt="http://schemas.openxmlformats.org/officeDocument/2006/docPropsVTypes"/>
</file>