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50.926</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18.569</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2003–2025.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"chưa quan sát thấy ngưỡng bất lợi của quốc tế hóa trong miền dữ liệu"</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4.x).</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50"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8"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BodyText"/>
      </w:pPr>
      <w:r>
        <w:drawing>
          <wp:inline>
            <wp:extent cx="5753100" cy="3849196"/>
            <wp:effectExtent b="0" l="0" r="0" t="0"/>
            <wp:docPr descr="Hình 4.x. Họ đường cong I–P phụ thuộc chế độ thể chế ICRV" title="" id="46" name="Picture"/>
            <a:graphic>
              <a:graphicData uri="http://schemas.openxmlformats.org/drawingml/2006/picture">
                <pic:pic>
                  <pic:nvPicPr>
                    <pic:cNvPr descr="figures/fig_4_x_ip_curves_icrv_gradient.png" id="47" name="Picture"/>
                    <pic:cNvPicPr>
                      <a:picLocks noChangeArrowheads="1" noChangeAspect="1"/>
                    </pic:cNvPicPr>
                  </pic:nvPicPr>
                  <pic:blipFill>
                    <a:blip r:embed="rId45"/>
                    <a:stretch>
                      <a:fillRect/>
                    </a:stretch>
                  </pic:blipFill>
                  <pic:spPr bwMode="auto">
                    <a:xfrm>
                      <a:off x="0" y="0"/>
                      <a:ext cx="5753100" cy="3849196"/>
                    </a:xfrm>
                    <a:prstGeom prst="rect">
                      <a:avLst/>
                    </a:prstGeom>
                    <a:noFill/>
                    <a:ln w="9525">
                      <a:noFill/>
                      <a:headEnd/>
                      <a:tailEnd/>
                    </a:ln>
                  </pic:spPr>
                </pic:pic>
              </a:graphicData>
            </a:graphic>
          </wp:inline>
        </w:drawing>
      </w:r>
    </w:p>
    <w:p>
      <w:pPr>
        <w:pStyle w:val="BodyText"/>
      </w:pPr>
      <w:r>
        <w:rPr>
          <w:bCs/>
          <w:b/>
        </w:rPr>
        <w:t xml:space="preserve">Hình 4.x.</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8"/>
    <w:bookmarkStart w:id="49"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9"/>
    <w:bookmarkEnd w:id="50"/>
    <w:bookmarkStart w:id="54" w:name="X148edf673f29f3cdc512225d99b03a9e67e1c42"/>
    <w:p>
      <w:pPr>
        <w:pStyle w:val="Heading2"/>
      </w:pPr>
      <w:r>
        <w:t xml:space="preserve">4.7 Kết quả trường hợp biên SIDS — Các nền kinh tế đảo nhỏ đang phát triển (P8)</w:t>
      </w:r>
    </w:p>
    <w:bookmarkStart w:id="51" w:name="Xe52dd8a4967ed07d68452ad9b61fc702a699611"/>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1"/>
    <w:bookmarkStart w:id="52"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2"/>
    <w:bookmarkStart w:id="53"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3"/>
    <w:bookmarkEnd w:id="54"/>
    <w:bookmarkStart w:id="55" w:name="X65c36e31bbe050d3662131014cfdcf39c76fad1"/>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4.3.</w:t>
      </w:r>
      <w:r>
        <w:t xml:space="preserve"> </w:t>
      </w:r>
      <w:r>
        <w:rPr>
          <w:iCs/>
          <w:i/>
        </w:rPr>
        <w:t xml:space="preserve">Điểm uốn theo đợt khảo sát, Ấn Độ.</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(Đỗ &amp; Phan, 2026, bản thảo đang chuẩn bị nộp tạp chí MIR).</w:t>
      </w:r>
    </w:p>
    <w:p>
      <w:pPr>
        <w:pStyle w:val="BodyText"/>
      </w:pPr>
      <w:r>
        <w:t xml:space="preserve">Phát hiện ngưỡng phá vỡ ở Ấn Độ trái ngược trực tiếp với kết quả Trung Quốc cũng thuộc chế độ thu nhập trung bình cao (Nhóm III ICRV), nơi điểm uốn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55"/>
    <w:bookmarkStart w:id="56" w:name="Xaf84bdcbf382a1b27c4f79b0bf2dd00a09bbcc8"/>
    <w:p>
      <w:pPr>
        <w:pStyle w:val="Heading2"/>
      </w:pPr>
      <w:r>
        <w:t xml:space="preserve">4.9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56"/>
    <w:bookmarkStart w:id="5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7">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8"/>
    <w:bookmarkEnd w:id="5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hyperlink" Id="rId57"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7"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2026-06-08T16:44:56Z</dcterms:created>
  <dcterms:modified xsi:type="dcterms:W3CDTF">2026-06-08T16:44:56Z</dcterms:modified>
</cp:coreProperties>
</file>

<file path=docProps/custom.xml><?xml version="1.0" encoding="utf-8"?>
<Properties xmlns="http://schemas.openxmlformats.org/officeDocument/2006/custom-properties" xmlns:vt="http://schemas.openxmlformats.org/officeDocument/2006/docPropsVTypes"/>
</file>