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Management International Review (MIR)</w:t>
      </w:r>
    </w:p>
    <w:p>
      <w:pPr>
        <w:pStyle w:val="BodyText"/>
      </w:pPr>
      <w:r>
        <w:rPr>
          <w:iCs/>
          <w:i/>
        </w:rPr>
        <w:t xml:space="preserve">12 May 2026 — v8 Phase 9 (NotebookLM critique applied: §2.3.4 three-mechanism framing with amplification as focal H3 expectation, §3.4 Boundary Conditions and Identification Scope consolidating support / power / Lind–Mehlum equivalence / Heckman caveats, §5.1 Tier-1+2 construct boundary with generic emerging-market framing; cross-paper companion-paper refs removed throughout)</w:t>
      </w:r>
    </w:p>
    <w:bookmarkStart w:id="21" w:name="abstract"/>
    <w:p>
      <w:pPr>
        <w:pStyle w:val="Heading2"/>
      </w:pPr>
      <w:r>
        <w:t xml:space="preserve">Abstract</w:t>
      </w:r>
    </w:p>
    <w:p>
      <w:pPr>
        <w:pStyle w:val="FirstParagraph"/>
      </w:pPr>
      <w:r>
        <w:t xml:space="preserve">This study examines how technological capability and digital adoption are associated with the internationalization–performance relationship among firms in Singapore, treated as a boundary-case test of the I–P relationship at the advanced-economy ceiling of the Institutional Context and Regulatory Variables (ICRV) spectrum — an analytically informative, within-context setting that reveals how the conventional nonlinear logic behaves when digital infrastructure is near-universally diffused and institutional transaction costs are at their lowest. Using World Bank Enterprise Survey microdata for Singapore 2023, the analysis distinguishes a Technological Capability Index (TCI), capturing firm-internal capability depth, from a Digital Adoption Index (DAI), capturing foundational digital interfaces and transaction-enabling mechanisms.</w:t>
      </w:r>
      <w:r>
        <w:t xml:space="preserve"> </w:t>
      </w:r>
      <w:r>
        <w:t xml:space="preserve">Three findings emerge. First, within the observed export-intensity range, the internationalization–performance relationship is better characterized as predominantly positive with mild quadratic curvature than as an inverted-U. The fitted quadratic implies a turning point in the upper tail, but that point is imprecisely located and falls in a sparsely populated region of the data. Second, TCI is positively associated with labour productivity, while no statistically distinguishable moderation by TCI is detected under the present design. Third, DAI does not exhibit a large uniform productivity premium across firms; instead, its association with productivity becomes more positive at higher levels of export intensity, with the clearest signal concentrated in the high-export tail. Taken together, the findings provide within-context evidence from Singapore that sharpens the distinction between technological capability and foundational digital adoption and suggests that digital adoption functions more as a contingent scaling resource than as a uniform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 These conditions are empirically grounded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while the Smart Nation 2.0 initiative (launched 2024) formalizes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we term a</w:t>
      </w:r>
      <w:r>
        <w:t xml:space="preserve"> </w:t>
      </w:r>
      <w:r>
        <w:rPr>
          <w:iCs/>
          <w:i/>
        </w:rPr>
        <w:t xml:space="preserve">digital saturation paradox</w:t>
      </w:r>
      <w:r>
        <w:t xml:space="preserve">: in an environment where Tier 1–2 digital interfaces (websites, electronic payment systems) are already widely diffused, these tools function as hygiene factors for domestic operations rather than differentiating assets. This near-universal Tier 1–2 diffusion is enabled by Singapore’s nationally deployed Digital Public Infrastructure — encompassing digital identity systems, payment rails, and data-exchange platforms — which the World Bank (2025a) identifies as the foundational enabling layer for firm-level digital adoption in advanced economies. Consistent with this, the Singapore sample reveals that 82% of firms report zero exports, while only 3% exceed 50% foreign sales to total sales — a striking domestic orientation despite the economy’s mature digital infrastructure. As a result, the productivity returns to foundational digital adoption should not be expected to manifest uniformly across all firms; instead, they should become measurable primarily when firms face the intensified coordination and transaction demands of cross-border activity. Singapore therefore serves not merely as a convenient empirical backdrop, but as an analytically ideal stress test —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 Focusing on Tier 1–2 adoption — the most widely diffused and comparable digital layer — is therefore a deliberate design choice: if even these foundational tools exhibit export-contingent productivity associations, higher-tier technologies (automation, integrated ERP, AI-enabled systems) should produce even stronger differentiation, making this the most conservative and replicable test of the conditional digital adoption hypothesis.</w:t>
      </w:r>
      <w:r>
        <w:t xml:space="preserve"> </w:t>
      </w:r>
      <w:r>
        <w:t xml:space="preserve">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r>
        <w:t xml:space="preserve"> </w:t>
      </w:r>
      <w:r>
        <w:t xml:space="preserve">### 1.3 Contribution</w:t>
      </w:r>
      <w:r>
        <w:t xml:space="preserve"> </w:t>
      </w:r>
      <w:r>
        <w:t xml:space="preserve">This study makes one primary contribution and two supporting contributions. Its primary contribution is to show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 DAI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 consistent with the saturation hypothesis —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§4.5 R1 indicator-sensitivity diagnostic further clarifies that the Tier-1+2 composition of DAI — combining website presence with two-way electronic-payment intensity —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are associated with a higher productivity floor, reflected in operational efficiency, product quality, and learning routines (Avenyo et al. 2021; Krammer et al. 2018). We therefore hypothesize:</w:t>
      </w:r>
      <w:r>
        <w:t xml:space="preserve"> </w:t>
      </w:r>
      <w:r>
        <w:t xml:space="preserve">Hypothesis 1 (H1). Technological capability (TCI) is positively associated with firm performance in Singapore.</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The productivity association of digital adoption (DAI) in Singapore is conditional rather than uniform across firms.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we name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§4. The substitution and selection mechanisms are retained as alternative explanations to be assessed against the robustness evidence in §4.5.</w:t>
      </w:r>
    </w:p>
    <w:p>
      <w:pPr>
        <w:pStyle w:val="BodyText"/>
      </w:pPr>
      <w:r>
        <w:t xml:space="preserve">Hypothesis 3 (H3). The association between digital adoption (DAI) and firm performance becomes more positive at higher levels of export intensity in Singapore, with the</w:t>
      </w:r>
      <w:r>
        <w:t xml:space="preserve"> </w:t>
      </w:r>
      <w:r>
        <w:rPr>
          <w:iCs/>
          <w:i/>
        </w:rPr>
        <w:t xml:space="preserve">amplification</w:t>
      </w:r>
      <w:r>
        <w:t xml:space="preserve"> </w:t>
      </w:r>
      <w:r>
        <w:t xml:space="preserve">mechanism (super-linear scaling rather than level shift) as the focal theoretical expectation underpinning the positive quadratic FSTS × DAI interaction term.</w:t>
      </w:r>
      <w:r>
        <w:t xml:space="preserve"> </w:t>
      </w:r>
      <w:r>
        <w:t xml:space="preserve">### 2.4 Conceptual model</w:t>
      </w:r>
      <w:r>
        <w:t xml:space="preserve"> </w:t>
      </w: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TCI and DAI moderating the I–P relationship</w:t>
            </w:r>
          </w:p>
        </w:tc>
      </w:tr>
    </w:tbl>
    <w:p>
      <w:pPr>
        <w:pStyle w:val="ImageCaption"/>
      </w:pPr>
      <w:r>
        <w:t xml:space="preserve">Figure 1: Conceptual model — TCI and DAI moderating the I–P relationship</w:t>
      </w:r>
    </w:p>
    <w:p>
      <w:pPr>
        <w:pStyle w:val="BodyText"/>
      </w:pPr>
      <w:r>
        <w:rPr>
          <w:iCs/>
          <w:i/>
        </w:rPr>
        <w:t xml:space="preserve">Figure 1.</w:t>
      </w:r>
      <w:r>
        <w:t xml:space="preserve"> </w:t>
      </w:r>
      <w:r>
        <w:t xml:space="preserve">Conceptual model. Internationalization (FSTS, FSTS²) is the independent variable; firm performance, measured as ln(labour productivity), is the dependent variable. Digital adoption (DAI) is the contingency variable on the I–P path (H3); technological capability (TCI) enters mainly as a direct-effect construct (H1), with any moderation by TCI assessed in a supplementary test rather than hypothesized ex ante. The diagram also lists the direct effect of DAI on the dependent variable (H2), which is estimated in the empirical model but not drawn as a crossing arrow for visual clarity. Firm size, age, foreign ownership, and broad-sector fixed effects enter as controls. Solid arrows denote direct associations; dashed arrows denote moderation associations. The setting is Singapore as a within-context, analytically informative case of a digitally advanced economy (WBES 2023, N = 623 / 617).</w:t>
      </w:r>
      <w:r>
        <w:t xml:space="preserve"> </w:t>
      </w:r>
      <w:r>
        <w:t xml:space="preserve">## 3 Methods</w:t>
      </w:r>
      <w:r>
        <w:t xml:space="preserve"> </w:t>
      </w:r>
      <w:r>
        <w:t xml:space="preserve">### 3.1 Data</w:t>
      </w:r>
      <w:r>
        <w:t xml:space="preserve"> </w:t>
      </w: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 a measurement implication that is borne out in the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§5.1 for the construct-boundary discussion). The Lind–Mehlum equivalence test result (p = .303) reported in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3.3 Estimation strategy and identification scope</w:t>
      </w:r>
      <w:r>
        <w:t xml:space="preserve"> </w:t>
      </w:r>
      <w:r>
        <w:t xml:space="preserve">The empirical analysis uses ordinary least squares with broad sector fixed effects and HC1 heteroskedasticity-robust standard errors throughout.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t xml:space="preserve"> </w:t>
      </w:r>
      <w:r>
        <w:t xml:space="preserve">ln(LP) = α + β₁·FSTS_c + β₂·FSTS_c² + β₃·TCI + β₄·DAI + β₅·(FSTS_c × DAI) + β₆·(FSTS_c² × DAI) + γ·controls + ε,</w:t>
      </w:r>
      <w:r>
        <w:t xml:space="preserve"> </w:t>
      </w:r>
      <w:r>
        <w:t xml:space="preserve">The full model includes centered FSTS, squared centered FSTS, TCI, DAI, the interaction between FSTS and DAI, and the interaction between squared FSTS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 cross-sectional variation in trade costs, export-promotion eligibility, or broadband-rollout timing is not available within the survey frame — OLS with HC1 robust standard errors is adopted as the primary specification. This choice follows Wolfolds and Siegel (2019), who show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§3.4 below for transparency, but is not treated as the primary specification. The associational nature of the OLS estimates is therefore acknowledged upfront, and inferential claims are bounded to within-context associations rather than causal effects.</w:t>
      </w:r>
    </w:p>
    <w:bookmarkStart w:id="20"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§4 results can be presented without recurrent caveats and the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conventional inverted-U interpretation is therefore not formally identified within the supported data range, and the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§3.4(i) sample-support boundary establishes is absent here. Read against the saturation hypothesis developed in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enters with marginal significance (β = 0.264, SE = 0.138, t = 1.92, p = .055),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§4 results below are reported on this consolidated identification scope, and §5 interprets the substantive findings without further re-litigation of these boundary conditions.</w:t>
      </w:r>
    </w:p>
    <w:bookmarkEnd w:id="20"/>
    <w:bookmarkEnd w:id="21"/>
    <w:bookmarkStart w:id="24" w:name="results"/>
    <w:p>
      <w:pPr>
        <w:pStyle w:val="Heading2"/>
      </w:pPr>
      <w:r>
        <w:t xml:space="preserve">4 Results</w:t>
      </w:r>
    </w:p>
    <w:bookmarkStart w:id="22"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whereas the squared term is negative and statistically significant at the p &lt; .10 threshold.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 approximately 67% of firms report website presence and Tier 2 e-payment adoption is widespread —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2"/>
    <w:bookmarkStart w:id="23" w:name="tci-results"/>
    <w:p>
      <w:pPr>
        <w:pStyle w:val="Heading3"/>
      </w:pPr>
      <w:r>
        <w:t xml:space="preserve">4.3 TCI results</w:t>
      </w:r>
    </w:p>
    <w:p>
      <w:pPr>
        <w:pStyle w:val="FirstParagraph"/>
      </w:pPr>
      <w:r>
        <w:t xml:space="preserve">The direct-effect model for technological capability (Model M5) shows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(β = 0.104, SE = 0.038, p = .007). However, once TCI is included alongside DAI in Model M7, the DAI coefficient attenuates to β =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and marginal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corrected marginal effects per reviewer fix #1).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t xml:space="preserve">Figure 2: Marginal effects of DAI on log labour productivity at varying FSTS levels (Singapore, N=617)</w:t>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t xml:space="preserve">Figure 3: Predicted I–P curve with bootstrap confidence band (Singapore, OLS M2)</w:t>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t xml:space="preserve"> </w:t>
      </w:r>
      <w:r>
        <w:t xml:space="preserve">Figure 3 visualizes the baseline quadratic fit between export intensity and labour productivity. The fitted curve implies a turning point near FSTS = 88.6% on the original scale (corrected per reviewer fix #3: −β₁/2β₂ applied to mean-centered FSTS ≈ 84.1%; +sample mean 0.045 ≈ 88.6%), but the point estimate is loosely identified — its 95% percentile bootstrap confidence interval spans [53%, 253%] — and lies in a sparsely populated upper tail of the sample. The Lind–Mehlum test does not formally confirm a conventional inverted-U at conventional significance levels. The appropriate interpretation is therefore not that the classic nonlinear literature is overturned, but that in this Singapore sample the right-side decline of the curve appears attenuated or shifted beyond the export range occupied by most firms in the data.</w:t>
      </w:r>
      <w:r>
        <w:t xml:space="preserve"> </w:t>
      </w:r>
      <w:r>
        <w:t xml:space="preserve">### 4.5 Robustness checks</w:t>
      </w:r>
      <w:r>
        <w:t xml:space="preserve"> </w:t>
      </w:r>
      <w:r>
        <w:t xml:space="preserve">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significant (F = 6.32, p = .003), corroborating the amplification mechanism documented in the full sample; the power-bounded inferential reading of this exporters-only result is established at §3.4(ii) and is not repeated here. (ii)</w:t>
      </w:r>
      <w:r>
        <w:t xml:space="preserve"> </w:t>
      </w:r>
      <w:r>
        <w:rPr>
          <w:iCs/>
          <w:i/>
        </w:rPr>
        <w:t xml:space="preserve">Export participation selection</w:t>
      </w:r>
      <w:r>
        <w:t xml:space="preserve">: the inverse-Mills-ratio sensitivity diagnostic for selection at the extensive margin of exporting is reported at §3.4(iv); the diagnostic confirms that the H3 amplification mechanism is robust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First, the TCI result supports a capability-depth interpretation of firm performance in internationalizing firms. Technological capability is positively associated with labour productivity in a way that is more stable than any moderation pattern identified in the present design, which is consistent with the view that internal capability depth is associated with a stronger productivity base from which firms engage international markets. This interpretation fits the absorptive-capacity and technological-capability traditions by emphasizing learning, innovation, and technology absorption as firm-internal sources of productivity heterogeneity rather than as clearly identified shifters of I–P curvature.</w:t>
      </w:r>
      <w:r>
        <w:t xml:space="preserve"> </w:t>
      </w:r>
      <w:r>
        <w:t xml:space="preserve">Second,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but that it provides within-context evidence from Singapore showing how the conventional I–P logic appears when most firms remain clustered at very low export intensity and the upper tail is thin. In that sense, the study sharpens interpretation of the nonlinear literature without claiming that a single-country cross-section can separate a context-specific mechanism from Singapore-specific institutional features.</w:t>
      </w:r>
      <w:r>
        <w:t xml:space="preserve"> </w:t>
      </w:r>
      <w:r>
        <w:t xml:space="preserve">Third, the DAI result suggests that foundational digital adoption is better understood as a conditional scaling resource than as a uniform firm-level productivity premium. Across much of the observed export-intensity distribution, the DAI association is weak or statistically indistinct, but it becomes more positive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while also underscoring that the evidence is concentrated in a thin-support region and should therefore be interpreted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 consistent with the digital saturation paradox outlined in the introduction. Their measurable return surfaces only when the scaling demands of high export intensity justify intensive use of digital interfaces and transaction systems. The scale of Singapore’s innovation ecosystem —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 underscores that Singapore’s advanced digital maturity extends well beyond the Tier 1–2 foundational layer captured by DAI, reinforcing the theoretical claim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 for which no instrument satisfying the exclusion restriction is available in the single-wave Singapore design — and the §4.5 (ii) Heckman sensitivity diagnostic indicates mild but non-eliminating extensive-margin selection. Read together, the evidence supports amplification as the focal mechanism while retaining selection as a bounded residual concern, in line with the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 as the §4.5 R1 specification confirms: when DAI is reduced to the website-only Tier-1 binary, the quadratic interaction weakens substantially (β drops from +3.119 to +1.552, joint F retained marginal at 4.01, p = .019), and the item-swap falsification test shows that the moderation collapses entirely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universally applicable digital-complementarity logic.</w:t>
      </w:r>
      <w:r>
        <w:t xml:space="preserve"> </w:t>
      </w:r>
      <w:r>
        <w:t xml:space="preserve">### 5.2 Managerial implications</w:t>
      </w:r>
      <w:r>
        <w:t xml:space="preserve"> </w:t>
      </w: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for all firms equally.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shows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First, the analysis is based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is therefore that the study documents how these variables co-vary in Singapore rather than establishing a causal mechanism.</w:t>
      </w:r>
      <w:r>
        <w:t xml:space="preserve"> </w:t>
      </w:r>
      <w:r>
        <w:t xml:space="preserve">Second, the sample contains a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Third, the estimated digital-adoption effect should be interpreted within the measurement boundary of the available indicators. The DAI construct captures Tier 1–2 digital adoption — digital presence and electronic-transaction usage —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 including instrumental-variable or difference-in-differences specifications keyed to digital-infrastructure rollouts or trade-policy shocks —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23"/>
    <w:bookmarkEnd w:id="24"/>
    <w:bookmarkStart w:id="25"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r>
        <w:pict>
          <v:rect style="width:0;height:1.5pt" o:hralign="center" o:hrstd="t" o:hr="t"/>
        </w:pict>
      </w:r>
    </w:p>
    <w:bookmarkEnd w:id="25"/>
    <w:bookmarkStart w:id="26"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w:t>
      </w:r>
      <w:r>
        <w:t xml:space="preserve"> </w:t>
      </w:r>
      <w:r>
        <w:rPr>
          <w:iCs/>
          <w:i/>
        </w:rPr>
        <w:t xml:space="preserve">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w:t>
      </w:r>
      <w:r>
        <w:t xml:space="preserve">,</w:t>
      </w:r>
      <w:r>
        <w:t xml:space="preserve"> </w:t>
      </w:r>
      <w:r>
        <w:rPr>
          <w:iCs/>
          <w:i/>
        </w:rPr>
        <w:t xml:space="preserve">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 https://doi.org/10.1002/smj.2995</w:t>
      </w:r>
    </w:p>
    <w:p>
      <w:r>
        <w:pict>
          <v:rect style="width:0;height:1.5pt" o:hralign="center" o:hrstd="t" o:hr="t"/>
        </w:pict>
      </w:r>
    </w:p>
    <w:p>
      <w:pPr>
        <w:pStyle w:val="FirstParagraph"/>
      </w:pPr>
      <w:r>
        <w:rPr>
          <w:iCs/>
          <w:i/>
        </w:rPr>
        <w:t xml:space="preserve">Additional contextual sources (cited in §1.1 and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2026-05-12T06:16:52Z</dcterms:created>
  <dcterms:modified xsi:type="dcterms:W3CDTF">2026-05-12T06:16:52Z</dcterms:modified>
</cp:coreProperties>
</file>

<file path=docProps/custom.xml><?xml version="1.0" encoding="utf-8"?>
<Properties xmlns="http://schemas.openxmlformats.org/officeDocument/2006/custom-properties" xmlns:vt="http://schemas.openxmlformats.org/officeDocument/2006/docPropsVTypes"/>
</file>