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phổ thể chế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18.589</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18.589 (21,3%), Nhóm III Trung bình cao 13.993 (15,7%), Nhóm I Advanced đổi mới 6.390 (7,2%), Nhóm VI SIDS 1.781 (2,0%),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(18.589, 21,3%), III Trung bình cao (13.993, 15,7%), I Advanced đổi mới (6.390, 7,2%), VI SIDS (1.781, 2,0%),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18.589</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1.781</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2026-06-20T07:51:24Z</dcterms:created>
  <dcterms:modified xsi:type="dcterms:W3CDTF">2026-06-20T07:51:24Z</dcterms:modified>
</cp:coreProperties>
</file>

<file path=docProps/custom.xml><?xml version="1.0" encoding="utf-8"?>
<Properties xmlns="http://schemas.openxmlformats.org/officeDocument/2006/custom-properties" xmlns:vt="http://schemas.openxmlformats.org/officeDocument/2006/docPropsVTypes"/>
</file>