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1"/>
    <w:bookmarkStart w:id="30" w:name="Xff8cef3ed320f9cf6f3fba4ff558bfed3af19c6"/>
    <w:p>
      <w:pPr>
        <w:pStyle w:val="Heading2"/>
      </w:pPr>
      <w:r>
        <w:t xml:space="preserve">5.1 Bàn luận kết quả theo khung lý thuyết CDCM</w:t>
      </w:r>
    </w:p>
    <w:bookmarkStart w:id="22" w:name="X59bbe86bb1d3da1717dec30924f73547ba9a500"/>
    <w:p>
      <w:pPr>
        <w:pStyle w:val="Heading3"/>
      </w:pPr>
      <w:r>
        <w:t xml:space="preserve">5.1.1 Phổ ICRV: Xác nhận một phần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phổ thể chế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phổ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w:t>
      </w:r>
      <w:r>
        <w:t xml:space="preserve"> </w:t>
      </w:r>
      <w:r>
        <w:rPr>
          <w:bCs/>
          <w:b/>
        </w:rPr>
        <w:t xml:space="preserve">một phần</w:t>
      </w:r>
      <w:r>
        <w:t xml:space="preserve"> </w:t>
      </w:r>
      <w:r>
        <w:t xml:space="preserve">H5 và tầng thể chế của khung lý thuyết CDCM. Phần</w:t>
      </w:r>
      <w:r>
        <w:t xml:space="preserve"> </w:t>
      </w:r>
      <w:r>
        <w:rPr>
          <w:bCs/>
          <w:b/>
        </w:rPr>
        <w:t xml:space="preserve">lõi</w:t>
      </w:r>
      <w:r>
        <w:t xml:space="preserve"> </w:t>
      </w:r>
      <w:r>
        <w:t xml:space="preserve">của H5 được xác nhận vững từ hai nguồn độc lập: chế độ thể chế quyết định không chỉ một biến điều tiết đơn lẻ mà là</w:t>
      </w:r>
      <w:r>
        <w:t xml:space="preserve"> </w:t>
      </w:r>
      <w:r>
        <w:rPr>
          <w:bCs/>
          <w:b/>
        </w:rPr>
        <w:t xml:space="preserve">cả một chế độ thể chế</w:t>
      </w:r>
      <w:r>
        <w:t xml:space="preserve"> </w:t>
      </w:r>
      <w:r>
        <w:t xml:space="preserve">chi phối sự tồn tại và vị trí của dạng hàm chữ U ngược (kiểm định tổng thể</w:t>
      </w:r>
      <w:r>
        <w:t xml:space="preserve"> </w:t>
      </w:r>
      <m:oMath>
        <m:sSub>
          <m:e>
            <m:r>
              <m:t>Q</m:t>
            </m:r>
          </m:e>
          <m:sub>
            <m:r>
              <m:t>M</m:t>
            </m:r>
          </m:sub>
        </m:sSub>
        <m:r>
          <m:rPr>
            <m:sty m:val="p"/>
          </m:rPr>
          <m:t>=</m:t>
        </m:r>
        <m:r>
          <m:t>17</m:t>
        </m:r>
        <m:r>
          <m:rPr>
            <m:sty m:val="p"/>
          </m:rPr>
          <m:t>,</m:t>
        </m:r>
        <m:r>
          <m:t>35</m:t>
        </m:r>
      </m:oMath>
      <w:r>
        <w:t xml:space="preserve"> </w:t>
      </w:r>
      <w:r>
        <w:t xml:space="preserve">của P6; phổ điểm uốn theo ICRV của P7). Tuy nhiên,</w:t>
      </w:r>
      <w:r>
        <w:t xml:space="preserve"> </w:t>
      </w:r>
      <w:r>
        <w:rPr>
          <w:bCs/>
          <w:b/>
        </w:rPr>
        <w:t xml:space="preserve">định hướng phổ thể chế đơn điệu</w:t>
      </w:r>
      <w:r>
        <w:t xml:space="preserve"> </w:t>
      </w:r>
      <w:r>
        <w:t xml:space="preserve">như H5 phát biểu (tác động mạnh nhất ở nhóm thể chế yếu, giảm dần đến nhóm tiên tiến — vận hành hóa thành mệnh đề thăm dò E1a/E1b)</w:t>
      </w:r>
      <w:r>
        <w:t xml:space="preserve"> </w:t>
      </w:r>
      <w:r>
        <w:rPr>
          <w:bCs/>
          <w:b/>
        </w:rPr>
        <w:t xml:space="preserve">chưa được xác nhận</w:t>
      </w:r>
      <w:r>
        <w:t xml:space="preserve">: ở P6, ý nghĩa của</w:t>
      </w:r>
      <w:r>
        <w:t xml:space="preserve"> </w:t>
      </w:r>
      <m:oMath>
        <m:sSub>
          <m:e>
            <m:r>
              <m:t>Q</m:t>
            </m:r>
          </m:e>
          <m:sub>
            <m:r>
              <m:t>M</m:t>
            </m:r>
          </m:sub>
        </m:sSub>
      </m:oMath>
      <w:r>
        <w:t xml:space="preserve"> </w:t>
      </w:r>
      <w:r>
        <w:t xml:space="preserve">bị chi phối bởi nhóm Frontier</w:t>
      </w:r>
      <w:r>
        <w:t xml:space="preserve"> </w:t>
      </w:r>
      <m:oMath>
        <m:r>
          <m:t>k</m:t>
        </m:r>
        <m:r>
          <m:rPr>
            <m:sty m:val="p"/>
          </m:rPr>
          <m:t>=</m:t>
        </m:r>
        <m:r>
          <m:t>3</m:t>
        </m:r>
      </m:oMath>
      <w:r>
        <w:t xml:space="preserve"> </w:t>
      </w:r>
      <w:r>
        <w:t xml:space="preserve">(một nghiên cứu ngoại lai chi phối), còn các tương phản giữa các nhóm đông quan sát (I, II, III, MX) đều không có ý nghĩa; ở P7, gradient thực nghiệm mang dạng</w:t>
      </w:r>
      <w:r>
        <w:t xml:space="preserve"> </w:t>
      </w:r>
      <w:r>
        <w:rPr>
          <w:bCs/>
          <w:b/>
        </w:rPr>
        <w:t xml:space="preserve">ba vùng phi đơn điệu</w:t>
      </w:r>
      <w:r>
        <w:t xml:space="preserve"> </w:t>
      </w:r>
      <w:r>
        <w:t xml:space="preserve">(chữ U ngược sắc nét ở vùng giữa, duỗi thẳng ở biên trên, mất cấu trúc ở biên dưới) chứ không phải một dốc đơn điệu. Nói cách khác, bằng chứng xác nhận rằng thể chế</w:t>
      </w:r>
      <w:r>
        <w:t xml:space="preserve"> </w:t>
      </w:r>
      <w:r>
        <w:rPr>
          <w:iCs/>
          <w:i/>
        </w:rPr>
        <w:t xml:space="preserve">định hình</w:t>
      </w:r>
      <w:r>
        <w:t xml:space="preserve"> </w:t>
      </w:r>
      <w:r>
        <w:t xml:space="preserve">dạng quan hệ, nhưng</w:t>
      </w:r>
      <w:r>
        <w:t xml:space="preserve"> </w:t>
      </w:r>
      <w:r>
        <w:rPr>
          <w:iCs/>
          <w:i/>
        </w:rPr>
        <w:t xml:space="preserve">chiều</w:t>
      </w:r>
      <w:r>
        <w:t xml:space="preserve"> </w:t>
      </w:r>
      <w:r>
        <w:t xml:space="preserve">của phổ thể chế phong phú hơn giả thuyết đơn điệu ban đầu — một tinh chỉnh lý thuyết hơn là một bác bỏ. lý thuyết thể chế của North (1990) và Khanna và Palepu (2010) dự đoán rằng thể chế định hình chi phí giao dịch và cấu trúc khuyến khích; kết quả ICRV phổ thể chế là biểu hiện thực nghiệm của cơ chế này ở quy mô 50 nền kinh tế châu Á và Thái Bình Dương (P7).</w:t>
      </w:r>
    </w:p>
    <w:p>
      <w:pPr>
        <w:pStyle w:val="BodyText"/>
      </w:pPr>
      <w:r>
        <w:t xml:space="preserve">Về mặt lý thuyết, phổ thể chế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phổ thể chế: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2"/>
    <w:bookmarkStart w:id="23" w:name="X09a4922d1c0cba8acfc2d36ce447b46819a36c1"/>
    <w:p>
      <w:pPr>
        <w:pStyle w:val="Heading3"/>
      </w:pPr>
      <w:r>
        <w:t xml:space="preserve">5.1.2 TCI là Năng Lực Nền Tảng: Xác nhận một phần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Tầng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Tầng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Tầng 1 DAI (website, email, online sales) chưa nắm bắt được chiều sâu của năng lực số. Khi DAI được đo bằng Tầng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4"/>
    <w:bookmarkStart w:id="25"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5"/>
    <w:bookmarkStart w:id="26"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hoạt động kinh doanh của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việc dạng chữ U ngược mất cấu trúc</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mất cấu trúc này, tức chiều hướng mà quan hệ nghiêng về khi quốc tế hóa cưỡng bức chi phối hoàn toàn, chứ không phải một quan hệ âm đơn điệu đã được ước lượng vững. Dù theo hướng giới hạn hay theo bằng chứng mất cấu trúc, hàm ý chung là không có mức FSTS nào mà doanh nghiệp SIDS có thể tận dụng để cải thiện hiệu quả thông qua xuất khẩu trong điều kiện hiện tại. Đây là ranh giới biên lý thuyết quan trọng cho các mô hình phi tuyến phổ quát trong tài liệu về quan hệ quốc tế hóa và hiệu quả.</w:t>
      </w:r>
    </w:p>
    <w:p>
      <w:r>
        <w:pict>
          <v:rect style="width:0;height:1.5pt" o:hralign="center" o:hrstd="t" o:hr="t"/>
        </w:pict>
      </w:r>
    </w:p>
    <w:bookmarkEnd w:id="26"/>
    <w:bookmarkStart w:id="27"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Tầng 2 thay thế Tầng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pPr>
        <w:pStyle w:val="BodyText"/>
      </w:pPr>
      <w:r>
        <w:t xml:space="preserve">Đặt trường hợp Ấn Độ cạnh hai bối cảnh chuyển đổi khác làm rõ kết luận về</w:t>
      </w:r>
      <w:r>
        <w:t xml:space="preserve"> </w:t>
      </w:r>
      <w:r>
        <w:rPr>
          <w:bCs/>
          <w:b/>
        </w:rPr>
        <w:t xml:space="preserve">dị biệt thời gian (H6)</w:t>
      </w:r>
      <w:r>
        <w:t xml:space="preserve">, vốn được kiểm định trực tiếp ở P5 và P3: tại Trung Quốc, điểm uốn ổn định giữa hai đợt 2012–2024 (kiểm định Paternoster không bác bỏ tính bằng nhau,</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trong khi tại Việt Nam điểm uốn dịch chuyển có ý nghĩa giữa 2009 và 2015. H6 do đó</w:t>
      </w:r>
      <w:r>
        <w:t xml:space="preserve"> </w:t>
      </w:r>
      <w:r>
        <w:rPr>
          <w:bCs/>
          <w:b/>
        </w:rPr>
        <w:t xml:space="preserve">không được xác nhận như một xu hướng thời gian đơn điệu</w:t>
      </w:r>
      <w:r>
        <w:t xml:space="preserve">, mà được tinh chỉnh thành một mệnh đề có điều kiện: dạng hàm quốc tế hóa–hiệu quả chỉ dịch chuyển (Việt Nam) hoặc mất cấu trúc (Ấn Độ 2025) khi tốc độ và biên độ thay đổi thể chế đủ lớn, còn giữ ổn định khi thể chế trưởng thành có trật tự (Trung Quốc) — nhất quán với cách đọc rằng thời gian tự nó không phải biến điều tiết, mà là vận tốc biến động thể chế tích lũy.</w:t>
      </w:r>
    </w:p>
    <w:p>
      <w:r>
        <w:pict>
          <v:rect style="width:0;height:1.5pt" o:hralign="center" o:hrstd="t" o:hr="t"/>
        </w:pict>
      </w:r>
    </w:p>
    <w:bookmarkEnd w:id="27"/>
    <w:bookmarkStart w:id="28" w:name="Xa3158dd5136100cab093ef0569110b9c1bb5fc2"/>
    <w:p>
      <w:pPr>
        <w:pStyle w:val="Heading3"/>
      </w:pPr>
      <w:r>
        <w:t xml:space="preserve">5.1.7 Tích hợp ba vùng của phổ thể chế: từ chữ U ngược đến mất cấu trúc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phổ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phổ thể chế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đặc tả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phổ thể chế (chế độ đang nổi và đảo nhỏ, Nhóm V và VI), quan hệ mất cấu trúc theo hai mức độ khác nhau. Tại Nhóm V, các hệ số không còn ý nghĩa thống kê và dạng hàm mất cấu trúc (P7). Tại Nhóm VI là các nền kinh tế đảo nhỏ, phát hiện vững là dạng chữ U ngược</w:t>
      </w:r>
      <w:r>
        <w:t xml:space="preserve"> </w:t>
      </w:r>
      <w:r>
        <w:rPr>
          <w:bCs/>
          <w:b/>
        </w:rPr>
        <w:t xml:space="preserve">mất cấu trúc</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phổ thể chế. Bằng chứng Việt Nam (P3) cho thấy độ cong toàn mẫu trong chế độ chuyển đổi được nhận diện chủ yếu qua biên tham gia, tức bước nhảy năng suất khi doanh nghiệp chuyển từ không xuất khẩu sang xuất khẩu (biên tham gia), chứ không qua độ cong cường độ trong nhóm doanh nghiệp đã xuất khẩu (biên cường độ);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8"/>
    <w:bookmarkStart w:id="29" w:name="X08dece717898d5afcbb01edbe9ac6531a983c78"/>
    <w:p>
      <w:pPr>
        <w:pStyle w:val="Heading3"/>
      </w:pPr>
      <w:r>
        <w:t xml:space="preserve">5.1.8 Sợi chỉ vàng: truy vết tích hợp từ câu hỏi nghiên cứu đến đóng góp lý thuyết</w:t>
      </w:r>
    </w:p>
    <w:p>
      <w:pPr>
        <w:pStyle w:val="FirstParagraph"/>
      </w:pPr>
      <w:r>
        <w:t xml:space="preserve">Để làm rõ rằng luận án là</w:t>
      </w:r>
      <w:r>
        <w:t xml:space="preserve"> </w:t>
      </w:r>
      <w:r>
        <w:rPr>
          <w:bCs/>
          <w:b/>
        </w:rPr>
        <w:t xml:space="preserve">một lập luận tích hợp duy nhất</w:t>
      </w:r>
      <w:r>
        <w:t xml:space="preserve"> </w:t>
      </w:r>
      <w:r>
        <w:t xml:space="preserve">chứ không phải tập hợp rời rạc các nghiên cứu thành phần, Bảng 5.1 truy vết</w:t>
      </w:r>
      <w:r>
        <w:t xml:space="preserve"> </w:t>
      </w:r>
      <w:r>
        <w:t xml:space="preserve">“</w:t>
      </w:r>
      <w:r>
        <w:t xml:space="preserve">sợi chỉ vàng</w:t>
      </w:r>
      <w:r>
        <w:t xml:space="preserve">”</w:t>
      </w:r>
      <w:r>
        <w:t xml:space="preserve"> </w:t>
      </w:r>
      <w:r>
        <w:t xml:space="preserve">xuyên suốt: mỗi câu hỏi nghiên cứu được trả lời bằng những nghiên cứu thành phần cụ thể, kiểm định những giả thuyết xác định, cho ra những phát hiện thực nghiệm có thể đối chiếu, và cùng hội tụ về một đóng góp lý thuyết của khung CDCM–ICRV–FIP. Bảng đọc theo chiều ngang cho thấy tính nhất quán nội tại của từng mắt xích; đọc theo chiều dọc cho thấy cách các mảnh bằng chứng độc lập bồi đắp lẫn nhau thành một tuyên bố thống nhất.</w:t>
      </w:r>
    </w:p>
    <w:p>
      <w:pPr>
        <w:pStyle w:val="BodyText"/>
      </w:pPr>
      <w:r>
        <w:rPr>
          <w:bCs/>
          <w:b/>
        </w:rPr>
        <w:t xml:space="preserve">Bảng 5.1.</w:t>
      </w:r>
      <w:r>
        <w:t xml:space="preserve"> </w:t>
      </w:r>
      <w:r>
        <w:rPr>
          <w:iCs/>
          <w:i/>
        </w:rPr>
        <w:t xml:space="preserve">Sợi chỉ vàng tích hợp: câu hỏi nghiên cứu → nghiên cứu thành phần → giả thuyết → phát hiện thực nghiệm chủ chốt → đóng góp lý thuyết.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RQ</w:t>
            </w:r>
          </w:p>
        </w:tc>
        <w:tc>
          <w:tcPr/>
          <w:p>
            <w:pPr>
              <w:pStyle w:val="Compact"/>
              <w:jc w:val="left"/>
            </w:pPr>
            <w:r>
              <w:t xml:space="preserve">Nghiên cứu (nhóm ICRV)</w:t>
            </w:r>
          </w:p>
        </w:tc>
        <w:tc>
          <w:tcPr/>
          <w:p>
            <w:pPr>
              <w:pStyle w:val="Compact"/>
              <w:jc w:val="left"/>
            </w:pPr>
            <w:r>
              <w:t xml:space="preserve">Giả thuyết</w:t>
            </w:r>
          </w:p>
        </w:tc>
        <w:tc>
          <w:tcPr/>
          <w:p>
            <w:pPr>
              <w:pStyle w:val="Compact"/>
              <w:jc w:val="left"/>
            </w:pPr>
            <w:r>
              <w:t xml:space="preserve">Phát hiện thực nghiệm chủ chốt</w:t>
            </w:r>
          </w:p>
        </w:tc>
        <w:tc>
          <w:tcPr/>
          <w:p>
            <w:pPr>
              <w:pStyle w:val="Compact"/>
              <w:jc w:val="left"/>
            </w:pPr>
            <w:r>
              <w:t xml:space="preserve">Đóng góp lý thuyết</w:t>
            </w:r>
          </w:p>
        </w:tc>
      </w:tr>
      <w:tr>
        <w:tc>
          <w:tcPr/>
          <w:p>
            <w:pPr>
              <w:pStyle w:val="Compact"/>
              <w:jc w:val="left"/>
            </w:pPr>
            <w:r>
              <w:t xml:space="preserve">RQ1</w:t>
            </w:r>
          </w:p>
        </w:tc>
        <w:tc>
          <w:tcPr/>
          <w:p>
            <w:pPr>
              <w:pStyle w:val="Compact"/>
              <w:jc w:val="left"/>
            </w:pPr>
            <w:r>
              <w:t xml:space="preserve">P6 — Phân tích tổng hợp toàn cầu</w:t>
            </w:r>
          </w:p>
        </w:tc>
        <w:tc>
          <w:tcPr/>
          <w:p>
            <w:pPr>
              <w:pStyle w:val="Compact"/>
              <w:jc w:val="left"/>
            </w:pPr>
            <w:r>
              <w:t xml:space="preserve">H1, H5</w:t>
            </w:r>
          </w:p>
        </w:tc>
        <w:tc>
          <w:tcPr/>
          <w:p>
            <w:pPr>
              <w:pStyle w:val="Compact"/>
              <w:jc w:val="left"/>
            </w:pPr>
            <m:oMath>
              <m:r>
                <m:t>k</m:t>
              </m:r>
              <m:r>
                <m:rPr>
                  <m:sty m:val="p"/>
                </m:rPr>
                <m:t>=</m:t>
              </m:r>
              <m:r>
                <m:t>238</m:t>
              </m:r>
            </m:oMath>
            <w:r>
              <w:t xml:space="preserve">; hiệu ứng dương nhỏ</w:t>
            </w:r>
            <w:r>
              <w:t xml:space="preserve"> </w:t>
            </w:r>
            <m:oMath>
              <m:acc>
                <m:accPr>
                  <m:chr m:val="‾"/>
                </m:accPr>
                <m:e>
                  <m:r>
                    <m:t>r</m:t>
                  </m:r>
                </m:e>
              </m:acc>
              <m:r>
                <m:rPr>
                  <m:sty m:val="p"/>
                </m:rPr>
                <m:t>=</m:t>
              </m:r>
              <m:r>
                <m:t>0</m:t>
              </m:r>
              <m:r>
                <m:rPr>
                  <m:sty m:val="p"/>
                </m:rPr>
                <m:t>,</m:t>
              </m:r>
              <m:r>
                <m:t>074</m:t>
              </m:r>
            </m:oMath>
            <w:r>
              <w:t xml:space="preserve">; dị biệt cao</w:t>
            </w:r>
            <w:r>
              <w:t xml:space="preserve"> </w:t>
            </w:r>
            <m:oMath>
              <m:sSup>
                <m:e>
                  <m:r>
                    <m:t>I</m:t>
                  </m:r>
                </m:e>
                <m:sup>
                  <m:r>
                    <m:t>2</m:t>
                  </m:r>
                </m:sup>
              </m:sSup>
              <m:r>
                <m:rPr>
                  <m:sty m:val="p"/>
                </m:rPr>
                <m:t>=</m:t>
              </m:r>
              <m:r>
                <m:t>62</m:t>
              </m:r>
              <m:r>
                <m:rPr>
                  <m:sty m:val="p"/>
                </m:rPr>
                <m:t>,</m:t>
              </m:r>
              <m:r>
                <m:t>4</m:t>
              </m:r>
              <m:r>
                <m:rPr>
                  <m:sty m:val="p"/>
                </m:rPr>
                <m:t>%</m:t>
              </m:r>
            </m:oMath>
            <w:r>
              <w:t xml:space="preserve">; thể chế điều tiết</w:t>
            </w:r>
            <w:r>
              <w:t xml:space="preserve"> </w:t>
            </w:r>
            <m:oMath>
              <m:sSub>
                <m:e>
                  <m:r>
                    <m:t>Q</m:t>
                  </m:r>
                </m:e>
                <m:sub>
                  <m:r>
                    <m:t>M</m:t>
                  </m:r>
                </m:sub>
              </m:sSub>
              <m:r>
                <m:rPr>
                  <m:sty m:val="p"/>
                </m:rPr>
                <m:t>=</m:t>
              </m:r>
              <m:r>
                <m:t>17</m:t>
              </m:r>
              <m:r>
                <m:rPr>
                  <m:sty m:val="p"/>
                </m:rPr>
                <m:t>,</m:t>
              </m:r>
              <m:r>
                <m:t>35</m:t>
              </m:r>
            </m:oMath>
            <w:r>
              <w:t xml:space="preserve"> </w:t>
            </w:r>
            <w:r>
              <w:t xml:space="preserve">(</w:t>
            </w:r>
            <m:oMath>
              <m:r>
                <m:t>p</m:t>
              </m:r>
              <m:r>
                <m:rPr>
                  <m:sty m:val="p"/>
                </m:rPr>
                <m:t>=</m:t>
              </m:r>
              <m:r>
                <m:rPr>
                  <m:sty m:val="p"/>
                </m:rPr>
                <m:t>,</m:t>
              </m:r>
              <m:r>
                <m:t>002</m:t>
              </m:r>
            </m:oMath>
            <w:r>
              <w:t xml:space="preserve">)</w:t>
            </w:r>
          </w:p>
        </w:tc>
        <w:tc>
          <w:tcPr/>
          <w:p>
            <w:pPr>
              <w:pStyle w:val="Compact"/>
              <w:jc w:val="left"/>
            </w:pPr>
            <w:r>
              <w:t xml:space="preserve">Xác lập thực chứng rằng quan hệ I–P dương nhỏ nhưng</w:t>
            </w:r>
            <w:r>
              <w:t xml:space="preserve"> </w:t>
            </w:r>
            <w:r>
              <w:rPr>
                <w:bCs/>
                <w:b/>
              </w:rPr>
              <w:t xml:space="preserve">dị biệt do thể chế</w:t>
            </w:r>
            <w:r>
              <w:t xml:space="preserve"> </w:t>
            </w:r>
            <w:r>
              <w:t xml:space="preserve">— cơ sở cho trục ICRV</w:t>
            </w:r>
          </w:p>
        </w:tc>
      </w:tr>
      <w:tr>
        <w:tc>
          <w:tcPr/>
          <w:p>
            <w:pPr>
              <w:pStyle w:val="Compact"/>
              <w:jc w:val="left"/>
            </w:pPr>
            <w:r>
              <w:t xml:space="preserve">RQ2</w:t>
            </w:r>
          </w:p>
        </w:tc>
        <w:tc>
          <w:tcPr/>
          <w:p>
            <w:pPr>
              <w:pStyle w:val="Compact"/>
              <w:jc w:val="left"/>
            </w:pPr>
            <w:r>
              <w:t xml:space="preserve">P4 — Singapore (I)</w:t>
            </w:r>
          </w:p>
        </w:tc>
        <w:tc>
          <w:tcPr/>
          <w:p>
            <w:pPr>
              <w:pStyle w:val="Compact"/>
              <w:jc w:val="left"/>
            </w:pPr>
            <w:r>
              <w:t xml:space="preserve">H1, H3</w:t>
            </w:r>
          </w:p>
        </w:tc>
        <w:tc>
          <w:tcPr/>
          <w:p>
            <w:pPr>
              <w:pStyle w:val="Compact"/>
              <w:jc w:val="left"/>
            </w:pPr>
            <w:r>
              <w:t xml:space="preserve">Gần tuyến tính dương; điểm uốn ~88,6% (CI rộng, ngoài miền); DAI khuếch đại ở cường độ cao</w:t>
            </w:r>
          </w:p>
        </w:tc>
        <w:tc>
          <w:tcPr/>
          <w:p>
            <w:pPr>
              <w:pStyle w:val="Compact"/>
              <w:jc w:val="left"/>
            </w:pPr>
            <w:r>
              <w:t xml:space="preserve">Biên trên: đường cong</w:t>
            </w:r>
            <w:r>
              <w:t xml:space="preserve"> </w:t>
            </w:r>
            <w:r>
              <w:rPr>
                <w:bCs/>
                <w:b/>
              </w:rPr>
              <w:t xml:space="preserve">duỗi thẳng</w:t>
            </w:r>
            <w:r>
              <w:t xml:space="preserve"> </w:t>
            </w:r>
            <w:r>
              <w:t xml:space="preserve">khi đệm thể chế dày</w:t>
            </w:r>
          </w:p>
        </w:tc>
      </w:tr>
      <w:tr>
        <w:tc>
          <w:tcPr/>
          <w:p>
            <w:pPr>
              <w:pStyle w:val="Compact"/>
              <w:jc w:val="left"/>
            </w:pPr>
            <w:r>
              <w:t xml:space="preserve">RQ2</w:t>
            </w:r>
          </w:p>
        </w:tc>
        <w:tc>
          <w:tcPr/>
          <w:p>
            <w:pPr>
              <w:pStyle w:val="Compact"/>
              <w:jc w:val="left"/>
            </w:pPr>
            <w:r>
              <w:t xml:space="preserve">P3 — Việt Nam (IV)</w:t>
            </w:r>
          </w:p>
        </w:tc>
        <w:tc>
          <w:tcPr/>
          <w:p>
            <w:pPr>
              <w:pStyle w:val="Compact"/>
              <w:jc w:val="left"/>
            </w:pPr>
            <w:r>
              <w:t xml:space="preserve">H1, H2, H3</w:t>
            </w:r>
          </w:p>
        </w:tc>
        <w:tc>
          <w:tcPr/>
          <w:p>
            <w:pPr>
              <w:pStyle w:val="Compact"/>
              <w:jc w:val="left"/>
            </w:pPr>
            <w:r>
              <w:t xml:space="preserve">Chữ U ngược sắc nét, điểm uốn 39,3–46,2%; TCI điều tiết dương</w:t>
            </w:r>
          </w:p>
        </w:tc>
        <w:tc>
          <w:tcPr/>
          <w:p>
            <w:pPr>
              <w:pStyle w:val="Compact"/>
              <w:jc w:val="left"/>
            </w:pPr>
            <w:r>
              <w:t xml:space="preserve">Chế độ neo; phân biệt</w:t>
            </w:r>
            <w:r>
              <w:t xml:space="preserve"> </w:t>
            </w:r>
            <w:r>
              <w:rPr>
                <w:bCs/>
                <w:b/>
              </w:rPr>
              <w:t xml:space="preserve">biên tham gia</w:t>
            </w:r>
            <w:r>
              <w:t xml:space="preserve"> </w:t>
            </w:r>
            <w:r>
              <w:t xml:space="preserve">vs biên cường độ</w:t>
            </w:r>
          </w:p>
        </w:tc>
      </w:tr>
      <w:tr>
        <w:tc>
          <w:tcPr/>
          <w:p>
            <w:pPr>
              <w:pStyle w:val="Compact"/>
              <w:jc w:val="left"/>
            </w:pPr>
            <w:r>
              <w:t xml:space="preserve">RQ2</w:t>
            </w:r>
          </w:p>
        </w:tc>
        <w:tc>
          <w:tcPr/>
          <w:p>
            <w:pPr>
              <w:pStyle w:val="Compact"/>
              <w:jc w:val="left"/>
            </w:pPr>
            <w:r>
              <w:t xml:space="preserve">P5 — Trung Quốc 2012–2024 (III); P2 — DNVVN TQ</w:t>
            </w:r>
          </w:p>
        </w:tc>
        <w:tc>
          <w:tcPr/>
          <w:p>
            <w:pPr>
              <w:pStyle w:val="Compact"/>
              <w:jc w:val="left"/>
            </w:pPr>
            <w:r>
              <w:t xml:space="preserve">H1, H6</w:t>
            </w:r>
          </w:p>
        </w:tc>
        <w:tc>
          <w:tcPr/>
          <w:p>
            <w:pPr>
              <w:pStyle w:val="Compact"/>
              <w:jc w:val="left"/>
            </w:pPr>
            <w:r>
              <w:t xml:space="preserve">Điểm uốn ổn định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P2: 47,8%, bẫy vốn lưu động</w:t>
            </w:r>
          </w:p>
        </w:tc>
        <w:tc>
          <w:tcPr/>
          <w:p>
            <w:pPr>
              <w:pStyle w:val="Compact"/>
              <w:jc w:val="left"/>
            </w:pPr>
            <w:r>
              <w:rPr>
                <w:bCs/>
                <w:b/>
              </w:rPr>
              <w:t xml:space="preserve">Tính bền thời gian</w:t>
            </w:r>
            <w:r>
              <w:t xml:space="preserve"> </w:t>
            </w:r>
            <w:r>
              <w:t xml:space="preserve">của điểm uốn qua một thập kỷ</w:t>
            </w:r>
          </w:p>
        </w:tc>
      </w:tr>
      <w:tr>
        <w:tc>
          <w:tcPr/>
          <w:p>
            <w:pPr>
              <w:pStyle w:val="Compact"/>
              <w:jc w:val="left"/>
            </w:pPr>
            <w:r>
              <w:t xml:space="preserve">RQ3</w:t>
            </w:r>
          </w:p>
        </w:tc>
        <w:tc>
          <w:tcPr/>
          <w:p>
            <w:pPr>
              <w:pStyle w:val="Compact"/>
              <w:jc w:val="left"/>
            </w:pPr>
            <w:r>
              <w:t xml:space="preserve">P7 — Toàn mẫu 50 nền</w:t>
            </w:r>
          </w:p>
        </w:tc>
        <w:tc>
          <w:tcPr/>
          <w:p>
            <w:pPr>
              <w:pStyle w:val="Compact"/>
              <w:jc w:val="left"/>
            </w:pPr>
            <w:r>
              <w:t xml:space="preserve">H1, H2, H3, H5</w:t>
            </w:r>
          </w:p>
        </w:tc>
        <w:tc>
          <w:tcPr/>
          <w:p>
            <w:pPr>
              <w:pStyle w:val="Compact"/>
              <w:jc w:val="left"/>
            </w:pPr>
            <m:oMath>
              <m:r>
                <m:t>N</m:t>
              </m:r>
              <m:r>
                <m:rPr>
                  <m:sty m:val="p"/>
                </m:rPr>
                <m:t>=</m:t>
              </m:r>
              <m:r>
                <m:t>81.022</m:t>
              </m:r>
              <m:r>
                <m:rPr>
                  <m:sty m:val="p"/>
                </m:rPr>
                <m:t>/</m:t>
              </m:r>
              <m:r>
                <m:t>79.080</m:t>
              </m:r>
            </m:oMath>
            <w:r>
              <w:t xml:space="preserve">; điểm uốn 43,6–51,5%; TCI</w:t>
            </w:r>
            <w:r>
              <w:t xml:space="preserve"> </w:t>
            </w:r>
            <m:oMath>
              <m:r>
                <m:rPr>
                  <m:sty m:val="p"/>
                </m:rPr>
                <m:t>+</m:t>
              </m:r>
              <m:r>
                <m:t>0</m:t>
              </m:r>
              <m:r>
                <m:rPr>
                  <m:sty m:val="p"/>
                </m:rPr>
                <m:t>,</m:t>
              </m:r>
              <m:r>
                <m:t>141</m:t>
              </m:r>
            </m:oMath>
            <w:r>
              <w:t xml:space="preserve">, DAI</w:t>
            </w:r>
            <w:r>
              <w:t xml:space="preserve"> </w:t>
            </w:r>
            <m:oMath>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nâng mặt bằng</w:t>
            </w:r>
          </w:p>
        </w:tc>
        <w:tc>
          <w:tcPr/>
          <w:p>
            <w:pPr>
              <w:pStyle w:val="Compact"/>
              <w:jc w:val="left"/>
            </w:pPr>
            <w:r>
              <w:t xml:space="preserve">Khái quát hóa CDCM; TCI/DAI là</w:t>
            </w:r>
            <w:r>
              <w:t xml:space="preserve"> </w:t>
            </w:r>
            <w:r>
              <w:rPr>
                <w:bCs/>
                <w:b/>
              </w:rPr>
              <w:t xml:space="preserve">bộ nâng mặt bằng phổ quát</w:t>
            </w:r>
            <w:r>
              <w:t xml:space="preserve">, không uốn đường cong</w:t>
            </w:r>
          </w:p>
        </w:tc>
      </w:tr>
      <w:tr>
        <w:tc>
          <w:tcPr/>
          <w:p>
            <w:pPr>
              <w:pStyle w:val="Compact"/>
              <w:jc w:val="left"/>
            </w:pPr>
            <w:r>
              <w:t xml:space="preserve">RQ3</w:t>
            </w:r>
          </w:p>
        </w:tc>
        <w:tc>
          <w:tcPr/>
          <w:p>
            <w:pPr>
              <w:pStyle w:val="Compact"/>
              <w:jc w:val="left"/>
            </w:pPr>
            <w:r>
              <w:t xml:space="preserve">P8 — Pacific SIDS (VI)</w:t>
            </w:r>
          </w:p>
        </w:tc>
        <w:tc>
          <w:tcPr/>
          <w:p>
            <w:pPr>
              <w:pStyle w:val="Compact"/>
              <w:jc w:val="left"/>
            </w:pPr>
            <w:r>
              <w:t xml:space="preserve">H1b</w:t>
            </w:r>
          </w:p>
        </w:tc>
        <w:tc>
          <w:tcPr/>
          <w:p>
            <w:pPr>
              <w:pStyle w:val="Compact"/>
              <w:jc w:val="left"/>
            </w:pPr>
            <w:r>
              <w:t xml:space="preserve">Mất cấu trúc: độ dốc</w:t>
            </w:r>
            <w:r>
              <w:t xml:space="preserve"> </w:t>
            </w:r>
            <m:oMath>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độ cong</w:t>
            </w:r>
            <w:r>
              <w:t xml:space="preserve"> </w:t>
            </w:r>
            <m:oMath>
              <m:r>
                <m:rPr>
                  <m:sty m:val="p"/>
                </m:rPr>
                <m:t>+</m:t>
              </m:r>
              <m:r>
                <m:t>0</m:t>
              </m:r>
              <m:r>
                <m:rPr>
                  <m:sty m:val="p"/>
                </m:rPr>
                <m:t>,</m:t>
              </m:r>
              <m:r>
                <m:t>696</m:t>
              </m:r>
            </m:oMath>
            <w:r>
              <w:t xml:space="preserve"> </w:t>
            </w:r>
            <w:r>
              <w:t xml:space="preserve">(</w:t>
            </w:r>
            <m:oMath>
              <m:sSub>
                <m:e>
                  <m:r>
                    <m:t>p</m:t>
                  </m:r>
                </m:e>
                <m:sub>
                  <m:r>
                    <m:rPr>
                      <m:nor/>
                      <m:sty m:val="p"/>
                    </m:rPr>
                    <m:t>wild</m:t>
                  </m:r>
                </m:sub>
              </m:sSub>
              <m:r>
                <m:rPr>
                  <m:sty m:val="p"/>
                </m:rPr>
                <m:t>=</m:t>
              </m:r>
              <m:r>
                <m:rPr>
                  <m:sty m:val="p"/>
                </m:rPr>
                <m:t>,</m:t>
              </m:r>
              <m:r>
                <m:t>082</m:t>
              </m:r>
            </m:oMath>
            <w:r>
              <w:t xml:space="preserve"> </w:t>
            </w:r>
            <w:r>
              <w:t xml:space="preserve">biên);</w:t>
            </w:r>
            <w:r>
              <w:t xml:space="preserve"> </w:t>
            </w:r>
            <m:oMath>
              <m:r>
                <m:t>N</m:t>
              </m:r>
              <m:r>
                <m:rPr>
                  <m:sty m:val="p"/>
                </m:rPr>
                <m:t>=</m:t>
              </m:r>
              <m:r>
                <m:t>1.450</m:t>
              </m:r>
            </m:oMath>
          </w:p>
        </w:tc>
        <w:tc>
          <w:tcPr/>
          <w:p>
            <w:pPr>
              <w:pStyle w:val="Compact"/>
              <w:jc w:val="left"/>
            </w:pPr>
            <w:r>
              <w:t xml:space="preserve">Định danh</w:t>
            </w:r>
            <w:r>
              <w:t xml:space="preserve"> </w:t>
            </w:r>
            <w:r>
              <w:rPr>
                <w:bCs/>
                <w:b/>
              </w:rPr>
              <w:t xml:space="preserve">FIP</w:t>
            </w:r>
            <w:r>
              <w:t xml:space="preserve"> </w:t>
            </w:r>
            <w:r>
              <w:t xml:space="preserve">— điều kiện biên cực trị của chữ U ngược</w:t>
            </w:r>
          </w:p>
        </w:tc>
      </w:tr>
      <w:tr>
        <w:tc>
          <w:tcPr/>
          <w:p>
            <w:pPr>
              <w:pStyle w:val="Compact"/>
              <w:jc w:val="left"/>
            </w:pPr>
            <w:r>
              <w:t xml:space="preserve">RQ4</w:t>
            </w:r>
          </w:p>
        </w:tc>
        <w:tc>
          <w:tcPr/>
          <w:p>
            <w:pPr>
              <w:pStyle w:val="Compact"/>
              <w:jc w:val="left"/>
            </w:pPr>
            <w:r>
              <w:t xml:space="preserve">P7 — Toàn phổ ICRV</w:t>
            </w:r>
          </w:p>
        </w:tc>
        <w:tc>
          <w:tcPr/>
          <w:p>
            <w:pPr>
              <w:pStyle w:val="Compact"/>
              <w:jc w:val="left"/>
            </w:pPr>
            <w:r>
              <w:t xml:space="preserve">H5</w:t>
            </w:r>
          </w:p>
        </w:tc>
        <w:tc>
          <w:tcPr/>
          <w:p>
            <w:pPr>
              <w:pStyle w:val="Compact"/>
              <w:jc w:val="left"/>
            </w:pPr>
            <w:r>
              <w:t xml:space="preserve">Điểm uốn dịch theo chế độ (Nhóm IV 43,0% → Nhóm I gần tuyến tính → Nhóm V/VI mất cấu trúc)</w:t>
            </w:r>
          </w:p>
        </w:tc>
        <w:tc>
          <w:tcPr/>
          <w:p>
            <w:pPr>
              <w:pStyle w:val="Compact"/>
              <w:jc w:val="left"/>
            </w:pPr>
            <w:r>
              <w:t xml:space="preserve">Thể chế điều tiết cả</w:t>
            </w:r>
            <w:r>
              <w:t xml:space="preserve"> </w:t>
            </w:r>
            <w:r>
              <w:rPr>
                <w:bCs/>
                <w:b/>
              </w:rPr>
              <w:t xml:space="preserve">dạng hàm</w:t>
            </w:r>
            <w:r>
              <w:t xml:space="preserve">, không chỉ độ lớn —</w:t>
            </w:r>
            <w:r>
              <w:t xml:space="preserve"> </w:t>
            </w:r>
            <w:r>
              <w:t xml:space="preserve">“</w:t>
            </w:r>
            <w:r>
              <w:t xml:space="preserve">có điều kiện theo bối cảnh</w:t>
            </w:r>
            <w:r>
              <w:t xml:space="preserve">”</w:t>
            </w:r>
          </w:p>
        </w:tc>
      </w:tr>
      <w:tr>
        <w:tc>
          <w:tcPr/>
          <w:p>
            <w:pPr>
              <w:pStyle w:val="Compact"/>
              <w:jc w:val="left"/>
            </w:pPr>
            <w:r>
              <w:t xml:space="preserve">RQ4</w:t>
            </w:r>
          </w:p>
        </w:tc>
        <w:tc>
          <w:tcPr/>
          <w:p>
            <w:pPr>
              <w:pStyle w:val="Compact"/>
              <w:jc w:val="left"/>
            </w:pPr>
            <w:r>
              <w:t xml:space="preserve">P9 — Ấn Độ 2014–2025 (IV)</w:t>
            </w:r>
          </w:p>
        </w:tc>
        <w:tc>
          <w:tcPr/>
          <w:p>
            <w:pPr>
              <w:pStyle w:val="Compact"/>
              <w:jc w:val="left"/>
            </w:pPr>
            <w:r>
              <w:t xml:space="preserve">H1c</w:t>
            </w:r>
          </w:p>
        </w:tc>
        <w:tc>
          <w:tcPr/>
          <w:p>
            <w:pPr>
              <w:pStyle w:val="Compact"/>
              <w:jc w:val="left"/>
            </w:pPr>
            <w:r>
              <w:rPr>
                <w:bCs/>
                <w:b/>
              </w:rPr>
              <w:t xml:space="preserve">Tan biến</w:t>
            </w:r>
            <w:r>
              <w:t xml:space="preserve"> </w:t>
            </w:r>
            <w:r>
              <w:t xml:space="preserve">điểm uốn: 61,8% (2014) → 40,7% (2022) →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w:t>
            </w:r>
          </w:p>
        </w:tc>
        <w:tc>
          <w:tcPr/>
          <w:p>
            <w:pPr>
              <w:pStyle w:val="Compact"/>
              <w:jc w:val="left"/>
            </w:pPr>
            <w:r>
              <w:t xml:space="preserve">Chuyển đổi thể chế cực mạnh</w:t>
            </w:r>
            <w:r>
              <w:t xml:space="preserve"> </w:t>
            </w:r>
            <w:r>
              <w:rPr>
                <w:bCs/>
                <w:b/>
              </w:rPr>
              <w:t xml:space="preserve">hòa tan</w:t>
            </w:r>
            <w:r>
              <w:t xml:space="preserve"> </w:t>
            </w:r>
            <w:r>
              <w:t xml:space="preserve">chứ không chỉ dịch ngưỡng (điều kiện biên thời gian)</w:t>
            </w:r>
          </w:p>
        </w:tc>
      </w:tr>
      <w:tr>
        <w:tc>
          <w:tcPr/>
          <w:p>
            <w:pPr>
              <w:pStyle w:val="Compact"/>
              <w:jc w:val="left"/>
            </w:pPr>
            <w:r>
              <w:t xml:space="preserve">RQ4</w:t>
            </w:r>
          </w:p>
        </w:tc>
        <w:tc>
          <w:tcPr/>
          <w:p>
            <w:pPr>
              <w:pStyle w:val="Compact"/>
              <w:jc w:val="left"/>
            </w:pPr>
            <w:r>
              <w:t xml:space="preserve">P10 — Nhật Bản 2025 (I)</w:t>
            </w:r>
          </w:p>
        </w:tc>
        <w:tc>
          <w:tcPr/>
          <w:p>
            <w:pPr>
              <w:pStyle w:val="Compact"/>
              <w:jc w:val="left"/>
            </w:pPr>
            <w:r>
              <w:t xml:space="preserve">H1 (biên trên)</w:t>
            </w:r>
          </w:p>
        </w:tc>
        <w:tc>
          <w:tcPr/>
          <w:p>
            <w:pPr>
              <w:pStyle w:val="Compact"/>
              <w:jc w:val="left"/>
            </w:pPr>
            <w:r>
              <w:t xml:space="preserve">Gần tuyến tính dương, điểm uốn ngoài miền; phần bù xuất khẩu 25,8%</w:t>
            </w:r>
          </w:p>
        </w:tc>
        <w:tc>
          <w:tcPr/>
          <w:p>
            <w:pPr>
              <w:pStyle w:val="Compact"/>
              <w:jc w:val="left"/>
            </w:pPr>
            <w:r>
              <w:t xml:space="preserve">Xác nhận</w:t>
            </w:r>
            <w:r>
              <w:t xml:space="preserve"> </w:t>
            </w:r>
            <w:r>
              <w:rPr>
                <w:bCs/>
                <w:b/>
              </w:rPr>
              <w:t xml:space="preserve">dự đoán biên trên</w:t>
            </w:r>
            <w:r>
              <w:t xml:space="preserve">; cơ chế biên tham gia (Melitz, 2003)</w:t>
            </w:r>
          </w:p>
        </w:tc>
      </w:tr>
      <w:tr>
        <w:tc>
          <w:tcPr/>
          <w:p>
            <w:pPr>
              <w:pStyle w:val="Compact"/>
              <w:jc w:val="left"/>
            </w:pPr>
            <w:r>
              <w:t xml:space="preserve">RQ4</w:t>
            </w:r>
          </w:p>
        </w:tc>
        <w:tc>
          <w:tcPr/>
          <w:p>
            <w:pPr>
              <w:pStyle w:val="Compact"/>
              <w:jc w:val="left"/>
            </w:pPr>
            <w:r>
              <w:t xml:space="preserve">Chương sách — Ấn Độ, quản trị (IV)</w:t>
            </w:r>
          </w:p>
        </w:tc>
        <w:tc>
          <w:tcPr/>
          <w:p>
            <w:pPr>
              <w:pStyle w:val="Compact"/>
              <w:jc w:val="left"/>
            </w:pPr>
            <w:r>
              <w:t xml:space="preserve">H4</w:t>
            </w:r>
          </w:p>
        </w:tc>
        <w:tc>
          <w:tcPr/>
          <w:p>
            <w:pPr>
              <w:pStyle w:val="Compact"/>
              <w:jc w:val="left"/>
            </w:pPr>
            <w:r>
              <w:t xml:space="preserve">ROS: kinh nghiệm</w:t>
            </w:r>
            <w:r>
              <w:t xml:space="preserve"> </w:t>
            </w:r>
            <m:oMath>
              <m:r>
                <m:rPr>
                  <m:sty m:val="p"/>
                </m:rPr>
                <m:t>+</m:t>
              </m:r>
              <m:r>
                <m:t>1</m:t>
              </m:r>
              <m:r>
                <m:rPr>
                  <m:sty m:val="p"/>
                </m:rPr>
                <m:t>,</m:t>
              </m:r>
              <m:r>
                <m:t>55</m:t>
              </m:r>
            </m:oMath>
            <w:r>
              <w:t xml:space="preserve">, lãnh đạo nữ</w:t>
            </w:r>
            <w:r>
              <w:t xml:space="preserve"> </w:t>
            </w:r>
            <m:oMath>
              <m:r>
                <m:rPr>
                  <m:sty m:val="p"/>
                </m:rPr>
                <m:t>+</m:t>
              </m:r>
              <m:r>
                <m:t>77</m:t>
              </m:r>
              <m:r>
                <m:rPr>
                  <m:sty m:val="p"/>
                </m:rPr>
                <m:t>,</m:t>
              </m:r>
              <m:r>
                <m:t>03</m:t>
              </m:r>
            </m:oMath>
            <w:r>
              <w:t xml:space="preserve"> </w:t>
            </w:r>
            <w:r>
              <w:t xml:space="preserve">điều tiết dương (</w:t>
            </w:r>
            <m:oMath>
              <m:r>
                <m:t>N</m:t>
              </m:r>
              <m:r>
                <m:rPr>
                  <m:sty m:val="p"/>
                </m:rPr>
                <m:t>=</m:t>
              </m:r>
              <m:r>
                <m:t>380</m:t>
              </m:r>
            </m:oMath>
            <w:r>
              <w:t xml:space="preserve">)</w:t>
            </w:r>
          </w:p>
        </w:tc>
        <w:tc>
          <w:tcPr/>
          <w:p>
            <w:pPr>
              <w:pStyle w:val="Compact"/>
              <w:jc w:val="left"/>
            </w:pPr>
            <w:r>
              <w:t xml:space="preserve">Bằng chứng đơn quốc gia cho</w:t>
            </w:r>
            <w:r>
              <w:t xml:space="preserve"> </w:t>
            </w:r>
            <w:r>
              <w:rPr>
                <w:bCs/>
                <w:b/>
              </w:rPr>
              <w:t xml:space="preserve">tầng quản trị</w:t>
            </w:r>
            <w:r>
              <w:t xml:space="preserve"> </w:t>
            </w:r>
            <w:r>
              <w:t xml:space="preserve">của CDCM</w:t>
            </w:r>
          </w:p>
        </w:tc>
      </w:tr>
    </w:tbl>
    <w:p>
      <w:pPr>
        <w:pStyle w:val="BodyText"/>
      </w:pPr>
      <w:r>
        <w:rPr>
          <w:iCs/>
          <w:i/>
        </w:rPr>
        <w:t xml:space="preserve">Ghi chú: Các con số trích nguyên từ Mục 5.6.1 và các mục kết quả tương ứng (Mục 4.2–4.9). Nhóm ICRV: I = tiên tiến đổi mới; III = trung bình cao; IV = chuyển đổi thu nhập trung bình thấp; VI = SIDS. Nguồn: tác giả tổng hợp.</w:t>
      </w:r>
    </w:p>
    <w:p>
      <w:pPr>
        <w:pStyle w:val="BodyText"/>
      </w:pPr>
      <w:r>
        <w:t xml:space="preserve">Đọc dọc Bảng 5.1, chín mảnh bằng chứng độc lập — một phân tích tổng hợp toàn cầu, năm ước lượng đơn quốc gia trải khắp phổ thể chế, một kiểm định toàn mẫu 50 nền, và hai trường hợp biên (SIDS, Nhật Bản) — hội tụ về</w:t>
      </w:r>
      <w:r>
        <w:t xml:space="preserve"> </w:t>
      </w:r>
      <w:r>
        <w:rPr>
          <w:bCs/>
          <w:b/>
        </w:rPr>
        <w:t xml:space="preserve">một tuyên bố lý thuyết duy nhất có thể bác bỏ</w:t>
      </w:r>
      <w:r>
        <w:t xml:space="preserve">:</w:t>
      </w:r>
      <w:r>
        <w:t xml:space="preserve"> </w:t>
      </w:r>
      <w:r>
        <w:rPr>
          <w:iCs/>
          <w:i/>
        </w:rPr>
        <w:t xml:space="preserve">mức độ quốc tế hóa cải thiện hiệu quả doanh nghiệp theo một dạng hàm mà bản thân dạng hàm đó là một hàm của vị trí thể chế</w:t>
      </w:r>
      <w:r>
        <w:t xml:space="preserve">. Cụ thể, độ dày đệm thể chế quyết định liệu quan hệ I–P là gần tuyến tính dương (biên trên), chữ U ngược sắc nét (chế độ chuyển đổi), hay mất cấu trúc và đảo dấu (biên dưới). Tuyên bố này nâng luận điểm kinh điển</w:t>
      </w:r>
      <w:r>
        <w:t xml:space="preserve"> </w:t>
      </w:r>
      <w:r>
        <w:t xml:space="preserve">“</w:t>
      </w:r>
      <w:r>
        <w:t xml:space="preserve">bối cảnh quan trọng</w:t>
      </w:r>
      <w:r>
        <w:t xml:space="preserve">”</w:t>
      </w:r>
      <w:r>
        <w:t xml:space="preserve"> </w:t>
      </w:r>
      <w:r>
        <w:t xml:space="preserve">từ một nhận định định tính (thể chế điều tiết</w:t>
      </w:r>
      <w:r>
        <w:t xml:space="preserve"> </w:t>
      </w:r>
      <w:r>
        <w:rPr>
          <w:iCs/>
          <w:i/>
        </w:rPr>
        <w:t xml:space="preserve">độ lớn</w:t>
      </w:r>
      <w:r>
        <w:t xml:space="preserve"> </w:t>
      </w:r>
      <w:r>
        <w:t xml:space="preserve">hiệu ứng) lên một mệnh đề định lượng kiểm định được (thể chế điều tiết</w:t>
      </w:r>
      <w:r>
        <w:t xml:space="preserve"> </w:t>
      </w:r>
      <w:r>
        <w:rPr>
          <w:iCs/>
          <w:i/>
        </w:rPr>
        <w:t xml:space="preserve">dấu và dạng</w:t>
      </w:r>
      <w:r>
        <w:t xml:space="preserve"> </w:t>
      </w:r>
      <w:r>
        <w:t xml:space="preserve">hiệu ứng), và xác định tường minh điểm — chế độ SIDS — mà tại đó cả họ lý thuyết chữ U ngược không còn ứng dụng được.</w:t>
      </w:r>
    </w:p>
    <w:bookmarkEnd w:id="29"/>
    <w:bookmarkEnd w:id="30"/>
    <w:bookmarkStart w:id="38" w:name="so-sánh-với-nghiên-cứu-trước-đây"/>
    <w:p>
      <w:pPr>
        <w:pStyle w:val="Heading2"/>
      </w:pPr>
      <w:r>
        <w:t xml:space="preserve">5.2 So sánh với nghiên cứu trước đây</w:t>
      </w:r>
    </w:p>
    <w:bookmarkStart w:id="31"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31"/>
    <w:bookmarkStart w:id="32"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mất cấu trúc</w:t>
      </w:r>
      <w:r>
        <w:t xml:space="preserve"> </w:t>
      </w:r>
      <w:r>
        <w:t xml:space="preserve">(không còn độ cong hay độ dốc có ý nghĩa) thay vì tuân theo đường cong chữ S hay chữ U ngược; FIP được nêu như trường hợp giới hạn lý thuyết của sự mất cấu trúc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tài liệu Lu và Beamish.</w:t>
      </w:r>
    </w:p>
    <w:bookmarkEnd w:id="32"/>
    <w:bookmarkStart w:id="33"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phổ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phổ thể chế mà thước đo nhị phân làm mất.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33"/>
    <w:bookmarkStart w:id="34"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mất cấu trúc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đặc tả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đặc tả. Hai đặc điểm này, kết hợp với tam giác hóa giữa phân tích tổng hợp và ước lượng gộp ở Mục 5.2.5, đặt cấu trúc ba vùng trên nền tảng xác nhận chéo chứ không phải trên tự do bậc đặc tả.</w:t>
      </w:r>
    </w:p>
    <w:bookmarkEnd w:id="34"/>
    <w:bookmarkStart w:id="35"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(qua kiểm định tổng thể, omnibus) rằng các chế độ thể chế ICRV khác biệt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kiểm định này chỉ khẳng định</w:t>
      </w:r>
      <w:r>
        <w:t xml:space="preserve"> </w:t>
      </w:r>
      <w:r>
        <w:rPr>
          <w:iCs/>
          <w:i/>
        </w:rPr>
        <w:t xml:space="preserve">có</w:t>
      </w:r>
      <w:r>
        <w:t xml:space="preserve"> </w:t>
      </w:r>
      <w:r>
        <w:t xml:space="preserve">khác biệt giữa các chế độ, còn cấu trúc</w:t>
      </w:r>
      <w:r>
        <w:t xml:space="preserve"> </w:t>
      </w:r>
      <w:r>
        <w:rPr>
          <w:iCs/>
          <w:i/>
        </w:rPr>
        <w:t xml:space="preserve">hướng</w:t>
      </w:r>
      <w:r>
        <w:t xml:space="preserve"> </w:t>
      </w:r>
      <w:r>
        <w:t xml:space="preserve">của gradient do P7 cung cấp chứ không phải P6 (xem Mục 4.6.2).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35"/>
    <w:bookmarkStart w:id="36"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đặc tả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Nói cách khác,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36"/>
    <w:bookmarkStart w:id="37"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hoạt động kinh doanh của doanh nghiệp ở các nền kinh tế mới nổi, trong đó tính động công nghệ tạo tương tác dương còn tính động thị trường tạo tương tác âm. Bằng chứng phổ thể chế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37"/>
    <w:bookmarkEnd w:id="38"/>
    <w:bookmarkStart w:id="49" w:name="đóng-góp-lý-thuyết"/>
    <w:p>
      <w:pPr>
        <w:pStyle w:val="Heading2"/>
      </w:pPr>
      <w:r>
        <w:t xml:space="preserve">5.3 Đóng góp lý thuyết</w:t>
      </w:r>
    </w:p>
    <w:bookmarkStart w:id="39" w:name="khung-đánh-giá-đóng-góp-lý-thuyết"/>
    <w:p>
      <w:pPr>
        <w:pStyle w:val="Heading3"/>
      </w:pPr>
      <w:r>
        <w:t xml:space="preserve">5.3.0 Khung đánh giá đóng góp lý thuyết</w:t>
      </w:r>
    </w:p>
    <w:p>
      <w:pPr>
        <w:pStyle w:val="FirstParagraph"/>
      </w:pPr>
      <w:r>
        <w:t xml:space="preserve">Trước khi trình bày từng đóng góp, mục này định vị chúng theo hai tiêu chí được chấp nhận rộng rãi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 câu hỏi</w:t>
      </w:r>
      <w:r>
        <w:t xml:space="preserve"> </w:t>
      </w:r>
      <w:r>
        <w:rPr>
          <w:bCs/>
          <w:b/>
        </w:rPr>
        <w:t xml:space="preserve">“</w:t>
      </w:r>
      <w:r>
        <w:rPr>
          <w:bCs/>
          <w:b/>
        </w:rPr>
        <w:t xml:space="preserve">cái gì – như thế nào – vì sao</w:t>
      </w:r>
      <w:r>
        <w:rPr>
          <w:bCs/>
          <w:b/>
        </w:rPr>
        <w:t xml:space="preserve">”</w:t>
      </w:r>
      <w:r>
        <w:t xml:space="preserve"> </w:t>
      </w:r>
      <w:r>
        <w:t xml:space="preserve">mà một đóng góp lý thuyết phải trả lời (Whetten, 1989). Theo Corley và Gioia (2011), một đóng góp có giá trị phải vừa</w:t>
      </w:r>
      <w:r>
        <w:t xml:space="preserve"> </w:t>
      </w:r>
      <w:r>
        <w:rPr>
          <w:iCs/>
          <w:i/>
        </w:rPr>
        <w:t xml:space="preserve">nguyên gốc</w:t>
      </w:r>
      <w:r>
        <w:t xml:space="preserve"> </w:t>
      </w:r>
      <w:r>
        <w:t xml:space="preserve">(tăng tiến hoặc mở đường mới) vừa</w:t>
      </w:r>
      <w:r>
        <w:t xml:space="preserve"> </w:t>
      </w:r>
      <w:r>
        <w:rPr>
          <w:iCs/>
          <w:i/>
        </w:rPr>
        <w:t xml:space="preserve">hữu dụng</w:t>
      </w:r>
      <w:r>
        <w:t xml:space="preserve"> </w:t>
      </w:r>
      <w:r>
        <w:t xml:space="preserve">(cho khoa học hoặc thực tiễn); luận án định vị mỗi đóng góp trên cả hai trục này thay vì chỉ tuyên bố tính mới.</w:t>
      </w:r>
    </w:p>
    <w:p>
      <w:pPr>
        <w:pStyle w:val="BodyText"/>
      </w:pPr>
      <w:r>
        <w:t xml:space="preserve">Điểm phân biệt cốt lõi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được giữ tường minh: việc tái xác nhận chữ U ngược ở từng bối cảnh đơn lẻ (P3, P4, P5) tự nó là</w:t>
      </w:r>
      <w:r>
        <w:t xml:space="preserve"> </w:t>
      </w:r>
      <w:r>
        <w:rPr>
          <w:iCs/>
          <w:i/>
        </w:rPr>
        <w:t xml:space="preserve">nhân rộng</w:t>
      </w:r>
      <w:r>
        <w:t xml:space="preserve"> </w:t>
      </w:r>
      <w:r>
        <w:t xml:space="preserve">có giá trị xác nhận nhưng không phải đóng góp lý thuyết mới; đóng góp nằm ở</w:t>
      </w:r>
      <w:r>
        <w:t xml:space="preserve"> </w:t>
      </w:r>
      <w:r>
        <w:rPr>
          <w:iCs/>
          <w:i/>
        </w:rPr>
        <w:t xml:space="preserve">cấu trúc hóa</w:t>
      </w:r>
      <w:r>
        <w:t xml:space="preserve"> </w:t>
      </w:r>
      <w:r>
        <w:t xml:space="preserve">sự biến thiên xuyên bối cảnh của dạng hàm đó thành một quy luật kiểm định được. Tương ứng, mỗi đóng góp dưới đây được phát biểu dưới dạng</w:t>
      </w:r>
      <w:r>
        <w:t xml:space="preserve"> </w:t>
      </w:r>
      <w:r>
        <w:rPr>
          <w:bCs/>
          <w:b/>
        </w:rPr>
        <w:t xml:space="preserve">mệnh đề có thể bác bỏ</w:t>
      </w:r>
      <w:r>
        <w:t xml:space="preserve"> </w:t>
      </w:r>
      <w:r>
        <w:t xml:space="preserve">(falsifiable) kèm</w:t>
      </w:r>
      <w:r>
        <w:t xml:space="preserve"> </w:t>
      </w:r>
      <w:r>
        <w:rPr>
          <w:bCs/>
          <w:b/>
        </w:rPr>
        <w:t xml:space="preserve">điều kiện phạm vi</w:t>
      </w:r>
      <w:r>
        <w:t xml:space="preserve"> </w:t>
      </w:r>
      <w:r>
        <w:t xml:space="preserve">(scope conditions) tường minh — đặc điểm mà khung CDCM–ICRV–FIP đáp ứng vì nó dự đoán</w:t>
      </w:r>
      <w:r>
        <w:t xml:space="preserve"> </w:t>
      </w:r>
      <w:r>
        <w:rPr>
          <w:iCs/>
          <w:i/>
        </w:rPr>
        <w:t xml:space="preserve">trước</w:t>
      </w:r>
      <w:r>
        <w:t xml:space="preserve"> </w:t>
      </w:r>
      <w:r>
        <w:t xml:space="preserve">vị trí và sự tồn tại của điểm uốn theo chế độ thể chế, do đó có thể sai nếu dữ liệu không khớp. Bốn đóng góp dưới đây (5.3.1–5.3.7) lần lượt trả lời:</w:t>
      </w:r>
      <w:r>
        <w:t xml:space="preserve"> </w:t>
      </w:r>
      <w:r>
        <w:rPr>
          <w:iCs/>
          <w:i/>
        </w:rPr>
        <w:t xml:space="preserve">cái gì</w:t>
      </w:r>
      <w:r>
        <w:t xml:space="preserve"> </w:t>
      </w:r>
      <w:r>
        <w:t xml:space="preserve">mới được đưa vào (DAI là nguồn lực tình huống; FIP; ICRV; điều kiện ổn định thể chế),</w:t>
      </w:r>
      <w:r>
        <w:t xml:space="preserve"> </w:t>
      </w:r>
      <w:r>
        <w:rPr>
          <w:iCs/>
          <w:i/>
        </w:rPr>
        <w:t xml:space="preserve">như thế nào</w:t>
      </w:r>
      <w:r>
        <w:t xml:space="preserve"> </w:t>
      </w:r>
      <w:r>
        <w:t xml:space="preserve">các cấu trúc này vận hành (qua nâng mặt bằng vs uốn đường cong; qua dịch chuyển vs hòa tan điểm uốn), và</w:t>
      </w:r>
      <w:r>
        <w:t xml:space="preserve"> </w:t>
      </w:r>
      <w:r>
        <w:rPr>
          <w:iCs/>
          <w:i/>
        </w:rPr>
        <w:t xml:space="preserve">vì sao bây giờ</w:t>
      </w:r>
      <w:r>
        <w:t xml:space="preserve"> </w:t>
      </w:r>
      <w:r>
        <w:t xml:space="preserve">(kỷ nguyên số và sự sẵn có lần đầu của dữ liệu doanh nghiệp hài hòa cho 50 nền châu Á – Thái Bình Dương, gồm Nhật Bản 2025).</w:t>
      </w:r>
    </w:p>
    <w:bookmarkEnd w:id="39"/>
    <w:bookmarkStart w:id="40"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40"/>
    <w:bookmarkStart w:id="41"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+0,28 đến +0,43; toàn mẫu 50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mất cấu trúc, năng lực công nghệ vẫn nâng mặt bằng năng suất nhưng không thể uốn độ dốc sang vùng có lợi,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41"/>
    <w:bookmarkStart w:id="42"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42"/>
    <w:bookmarkStart w:id="43"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r>
        <w:t xml:space="preserve"> </w:t>
      </w:r>
      <w:r>
        <w:rPr>
          <w:bCs/>
          <w:b/>
        </w:rPr>
        <w:t xml:space="preserve">Lưu ý về phạm vi áp dụng:</w:t>
      </w:r>
      <w:r>
        <w:t xml:space="preserve"> </w:t>
      </w:r>
      <w:r>
        <w:t xml:space="preserve">khung sáu chế độ đầy đủ (Nhóm I tới VI, trong đó Nhóm VI là SIDS) được vận hành ở phân tích cấp doanh nghiệp (P7), nơi tồn tại các doanh nghiệp đảo nhỏ trong dữ liệu WBES; còn phân tích tổng hợp ba tầng (P6) sử dụng năm chế độ vì chế độ SIDS không có nghiên cứu sơ cấp công bố cung cấp cỡ ảnh hưởng quốc tế hóa–hiệu quả (</w:t>
      </w:r>
      <m:oMath>
        <m:r>
          <m:t>k</m:t>
        </m:r>
        <m:r>
          <m:rPr>
            <m:sty m:val="p"/>
          </m:rPr>
          <m:t>=</m:t>
        </m:r>
        <m:r>
          <m:t>0</m:t>
        </m:r>
      </m:oMath>
      <w:r>
        <w:t xml:space="preserve">), nên không thể đưa vào kiểm định giữa các chế độ ở cấp phân tích tổng hợp.</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phổ thể chế: chữ U ngược định hình rõ nhất ở vùng giữa (Nhóm IV, điểm uốn 43,0%), duỗi thẳng gần tuyến tính ở biên trên nơi thể chế mạnh đẩy điểm uốn ra mức cường độ xuất khẩu rất cao (Singapore khoảng 88,6%), và mất cấu trúc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43"/>
    <w:bookmarkStart w:id="44"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Tầng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44"/>
    <w:bookmarkStart w:id="45"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mất cấu trúc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bức tranh liên tục từ chữ U ngược đến mất cấu trúc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45"/>
    <w:bookmarkStart w:id="46" w:name="Xc3dc829c9666f9a37bdea499555b18a0609b2ac"/>
    <w:p>
      <w:pPr>
        <w:pStyle w:val="Heading3"/>
      </w:pPr>
      <w:r>
        <w:t xml:space="preserve">5.3.6 Hàm ý phương pháp luận cho nghiên cứu phi tuyến đa bối cảnh</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46"/>
    <w:bookmarkStart w:id="47"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47"/>
    <w:bookmarkStart w:id="48" w:name="X424c76d92b37ed9a157ad7d30d86350b2c8bf81"/>
    <w:p>
      <w:pPr>
        <w:pStyle w:val="Heading3"/>
      </w:pPr>
      <w:r>
        <w:t xml:space="preserve">5.3.8 Điều kiện phạm vi và cơ sở nhận dạng nhân quả của khung CDCM</w:t>
      </w:r>
    </w:p>
    <w:p>
      <w:pPr>
        <w:pStyle w:val="FirstParagraph"/>
      </w:pPr>
      <w:r>
        <w:t xml:space="preserve">Một đóng góp lý thuyết đạt chuẩn quốc tế phải nêu rõ không chỉ</w:t>
      </w:r>
      <w:r>
        <w:t xml:space="preserve"> </w:t>
      </w:r>
      <w:r>
        <w:rPr>
          <w:iCs/>
          <w:i/>
        </w:rPr>
        <w:t xml:space="preserve">nó khẳng định điều gì</w:t>
      </w:r>
      <w:r>
        <w:t xml:space="preserve"> </w:t>
      </w:r>
      <w:r>
        <w:t xml:space="preserve">mà cả</w:t>
      </w:r>
      <w:r>
        <w:t xml:space="preserve"> </w:t>
      </w:r>
      <w:r>
        <w:rPr>
          <w:iCs/>
          <w:i/>
        </w:rPr>
        <w:t xml:space="preserve">trong những điều kiện nào điều đó đúng</w:t>
      </w:r>
      <w:r>
        <w:t xml:space="preserve"> </w:t>
      </w:r>
      <w:r>
        <w:t xml:space="preserve">và</w:t>
      </w:r>
      <w:r>
        <w:t xml:space="preserve"> </w:t>
      </w:r>
      <w:r>
        <w:rPr>
          <w:iCs/>
          <w:i/>
        </w:rPr>
        <w:t xml:space="preserve">cơ sở suy luận nào nâng đỡ khẳng định</w:t>
      </w:r>
      <w:r>
        <w:t xml:space="preserve"> </w:t>
      </w:r>
      <w:r>
        <w:t xml:space="preserve">(Santangelo &amp; Verbeke, 2022). Mục này phát biểu tường minh hai điều đó cho khung CDCM, tách bạch khỏi các hạn chế nghiên cứu (Mục 5.5) vốn nói về điểm yếu của thiết kế chứ không phải ranh giới của lý thuyết.</w:t>
      </w:r>
    </w:p>
    <w:p>
      <w:pPr>
        <w:pStyle w:val="BodyText"/>
      </w:pPr>
      <w:r>
        <w:rPr>
          <w:bCs/>
          <w:b/>
        </w:rPr>
        <w:t xml:space="preserve">Điều kiện phạm vi (boundary conditions).</w:t>
      </w:r>
      <w:r>
        <w:t xml:space="preserve"> </w:t>
      </w:r>
      <w:r>
        <w:t xml:space="preserve">Khung CDCM được phát biểu trong một miền ứng dụng xác định, và chính sự xác định này làm cho nó có thể bị bác bỏ. Thứ nhất,</w:t>
      </w:r>
      <w:r>
        <w:t xml:space="preserve"> </w:t>
      </w:r>
      <w:r>
        <w:rPr>
          <w:iCs/>
          <w:i/>
        </w:rPr>
        <w:t xml:space="preserve">đơn vị và thước đo</w:t>
      </w:r>
      <w:r>
        <w:t xml:space="preserve">: khung áp dụng cho quan hệ ở</w:t>
      </w:r>
      <w:r>
        <w:t xml:space="preserve"> </w:t>
      </w:r>
      <w:r>
        <w:rPr>
          <w:bCs/>
          <w:b/>
        </w:rPr>
        <w:t xml:space="preserve">cấp doanh nghiệp</w:t>
      </w:r>
      <w:r>
        <w:t xml:space="preserve"> </w:t>
      </w:r>
      <w:r>
        <w:t xml:space="preserve">với mức độ quốc tế hóa được đo bằng</w:t>
      </w:r>
      <w:r>
        <w:t xml:space="preserve"> </w:t>
      </w:r>
      <w:r>
        <w:rPr>
          <w:bCs/>
          <w:b/>
        </w:rPr>
        <w:t xml:space="preserve">cường độ xuất khẩu (chiều doanh số của DOI)</w:t>
      </w:r>
      <w:r>
        <w:t xml:space="preserve">; các chiều khác của quốc tế hóa (phạm vi địa lý, chiều sâu cam kết qua đầu tư trực tiếp ra nước ngoài) nằm ngoài phạm vi đã kiểm định và là điều kiện biên cần nhân rộng (Mục 5.5.3.3). Thứ hai,</w:t>
      </w:r>
      <w:r>
        <w:t xml:space="preserve"> </w:t>
      </w:r>
      <w:r>
        <w:rPr>
          <w:iCs/>
          <w:i/>
        </w:rPr>
        <w:t xml:space="preserve">miền thể chế</w:t>
      </w:r>
      <w:r>
        <w:t xml:space="preserve">: khung được hiệu chỉnh và kiểm định trên</w:t>
      </w:r>
      <w:r>
        <w:t xml:space="preserve"> </w:t>
      </w:r>
      <w:r>
        <w:rPr>
          <w:bCs/>
          <w:b/>
        </w:rPr>
        <w:t xml:space="preserve">phổ thể chế châu Á và Thái Bình Dương</w:t>
      </w:r>
      <w:r>
        <w:t xml:space="preserve"> </w:t>
      </w:r>
      <w:r>
        <w:t xml:space="preserve">giai đoạn 2006–2026; việc mở rộng sang các khu vực có cấu hình thể chế khác (Mỹ Latinh, châu Phi hạ Sahara) là một kiểm định phạm vi mở. Thứ ba,</w:t>
      </w:r>
      <w:r>
        <w:t xml:space="preserve"> </w:t>
      </w:r>
      <w:r>
        <w:rPr>
          <w:iCs/>
          <w:i/>
        </w:rPr>
        <w:t xml:space="preserve">giả định cấu trúc tối thiểu</w:t>
      </w:r>
      <w:r>
        <w:t xml:space="preserve">: khung ngầm giả định ba điều kiện cấu trúc — thị trường nội địa đủ lớn, chi phí thương mại không quá cao, và tồn tại hỗ trợ thể chế tối thiểu — được thỏa mãn; chính việc</w:t>
      </w:r>
      <w:r>
        <w:t xml:space="preserve"> </w:t>
      </w:r>
      <w:r>
        <w:rPr>
          <w:bCs/>
          <w:b/>
        </w:rPr>
        <w:t xml:space="preserve">định danh trường hợp các giả định này đồng thời bị vi phạm</w:t>
      </w:r>
      <w:r>
        <w:t xml:space="preserve"> </w:t>
      </w:r>
      <w:r>
        <w:t xml:space="preserve">(chế độ SIDS, qua khái niệm FIP) là cách luận án biến điều kiện biên ngầm của cả họ lý thuyết chữ U ngược thành một mệnh đề tường minh. Khung do đó tự nêu ranh giới ứng dụng của chính nó: tại biên dưới cực trị của phổ thể chế, dạng hàm chữ U ngược không còn là mô tả đúng.</w:t>
      </w:r>
    </w:p>
    <w:p>
      <w:pPr>
        <w:pStyle w:val="BodyText"/>
      </w:pPr>
      <w:r>
        <w:rPr>
          <w:bCs/>
          <w:b/>
        </w:rPr>
        <w:t xml:space="preserve">Cơ sở nhận dạng nhân quả.</w:t>
      </w:r>
      <w:r>
        <w:t xml:space="preserve"> </w:t>
      </w:r>
      <w:r>
        <w:t xml:space="preserve">Luận án giữ thái độ suy luận thận trọng và nhất quán: thiết kế dữ liệu là</w:t>
      </w:r>
      <w:r>
        <w:t xml:space="preserve"> </w:t>
      </w:r>
      <w:r>
        <w:rPr>
          <w:bCs/>
          <w:b/>
        </w:rPr>
        <w:t xml:space="preserve">chuỗi cắt ngang lặp lại</w:t>
      </w:r>
      <w:r>
        <w:t xml:space="preserve"> </w:t>
      </w:r>
      <w:r>
        <w:t xml:space="preserve">(không phải dữ liệu bảng theo dõi cùng doanh nghiệp), nên các phát biểu được hiểu là</w:t>
      </w:r>
      <w:r>
        <w:t xml:space="preserve"> </w:t>
      </w:r>
      <w:r>
        <w:rPr>
          <w:bCs/>
          <w:b/>
        </w:rPr>
        <w:t xml:space="preserve">quan hệ cấu trúc có điều kiện</w:t>
      </w:r>
      <w:r>
        <w:t xml:space="preserve"> </w:t>
      </w:r>
      <w:r>
        <w:t xml:space="preserve">chứ không phải hiệu ứng nhân quả điểm được nhận dạng chặt. Tuy vậy, độ tin cậy của luận điểm trung tâm không dựa trên một ước lượng đơn lẻ mà trên</w:t>
      </w:r>
      <w:r>
        <w:t xml:space="preserve"> </w:t>
      </w:r>
      <w:r>
        <w:rPr>
          <w:bCs/>
          <w:b/>
        </w:rPr>
        <w:t xml:space="preserve">tam giác hóa nhiều nguồn nhận dạng có thiên lệch không trùng nhau</w:t>
      </w:r>
      <w:r>
        <w:t xml:space="preserve">: (i) biến công cụ cho chấp nhận số với kiểm định độ mạnh công cụ (Mục 3.5.6.1), cho hệ số DAI được công cụ hóa gần</w:t>
      </w:r>
      <w:r>
        <w:t xml:space="preserve"> </w:t>
      </w:r>
      <w:r>
        <w:t xml:space="preserve">“</w:t>
      </w:r>
      <w:r>
        <w:t xml:space="preserve">không</w:t>
      </w:r>
      <w:r>
        <w:t xml:space="preserve">”</w:t>
      </w:r>
      <w:r>
        <w:t xml:space="preserve"> </w:t>
      </w:r>
      <w:r>
        <w:t xml:space="preserve">— gợi ý phần lớn tương quan DAI–hiệu quả mang tính chọn lọc chứ không nhân quả, một kết luận</w:t>
      </w:r>
      <w:r>
        <w:t xml:space="preserve"> </w:t>
      </w:r>
      <w:r>
        <w:rPr>
          <w:iCs/>
          <w:i/>
        </w:rPr>
        <w:t xml:space="preserve">khiêm tốn hóa</w:t>
      </w:r>
      <w:r>
        <w:t xml:space="preserve"> </w:t>
      </w:r>
      <w:r>
        <w:t xml:space="preserve">chứ không thổi phồng; (ii) giới hạn Oster về thiên lệch do biến bỏ sót không quan sát (Mục 3.5.6.2); (iii) kiểm định ổn định hệ số Paternoster xuyên đợt khảo sát (P5:</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(iv)</w:t>
      </w:r>
      <w:r>
        <w:t xml:space="preserve"> </w:t>
      </w:r>
      <w:r>
        <w:rPr>
          <w:bCs/>
          <w:b/>
        </w:rPr>
        <w:t xml:space="preserve">tính nhất quán về dấu xuyên nhiều đặc tả</w:t>
      </w:r>
      <w:r>
        <w:t xml:space="preserve"> </w:t>
      </w:r>
      <w:r>
        <w:t xml:space="preserve">như nguyên tắc suy luận nền tảng (Mục 3.5.6.3); và (v) sự hội tụ giữa phân tích tổng hợp (P6) và ước lượng gộp cấp doanh nghiệp (P7) — hai phương pháp chịu các nguồn thiên lệch khác nhau nhưng cùng định vị thể chế là biến điều tiết then chốt (Mục 5.2.5). Khi năm nguồn nhận dạng với điểm yếu bù trừ lẫn nhau cùng chỉ về một kết luận, luận điểm cấu trúc trở nên khó quy về tạo tác của một quy trình phân tích đơn lẻ, ngay cả khi từng nguồn riêng lẻ không đủ để nhận dạng nhân quả điểm. Đây chính là chuẩn suy luận mà tài liệu kinh doanh quốc tế đương đại kỳ vọng ở thiết kế quan sát đa bối cảnh.</w:t>
      </w:r>
    </w:p>
    <w:bookmarkEnd w:id="48"/>
    <w:bookmarkEnd w:id="49"/>
    <w:bookmarkStart w:id="58"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50"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Phổ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50"/>
    <w:bookmarkStart w:id="51"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01"/>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51"/>
    <w:bookmarkStart w:id="52"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52"/>
    <w:bookmarkStart w:id="53"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Tầng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53"/>
    <w:bookmarkStart w:id="54"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mất cấu trúc và quan hệ có xu hướng nghiêng âm,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54"/>
    <w:bookmarkStart w:id="55" w:name="X94c43498f06ecb7abaaed75113bae3686126e0f"/>
    <w:p>
      <w:pPr>
        <w:pStyle w:val="Heading3"/>
      </w:pPr>
      <w:r>
        <w:t xml:space="preserve">5.4.6 Quy tắc quyết định cho nhà quản trị doanh nghiệp theo vị trí thể chế</w:t>
      </w:r>
    </w:p>
    <w:p>
      <w:pPr>
        <w:pStyle w:val="FirstParagraph"/>
      </w:pP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mất cấu trúc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bookmarkEnd w:id="55"/>
    <w:bookmarkStart w:id="56" w:name="Xfbac78e10081884d51e43be54dacc466d8cff43"/>
    <w:p>
      <w:pPr>
        <w:pStyle w:val="Heading3"/>
      </w:pPr>
      <w:r>
        <w:t xml:space="preserve">5.4.7 Đề xuất cho các tổ chức phát triển và tài trợ quốc tế</w:t>
      </w:r>
    </w:p>
    <w:p>
      <w:pPr>
        <w:pStyle w:val="FirstParagraph"/>
      </w:pP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56"/>
    <w:bookmarkStart w:id="57" w:name="Xe0db8e28cf03dc8a65a6387c8f4ba9208afb8a3"/>
    <w:p>
      <w:pPr>
        <w:pStyle w:val="Heading3"/>
      </w:pPr>
      <w:r>
        <w:t xml:space="preserve">5.4.8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57"/>
    <w:bookmarkEnd w:id="58"/>
    <w:bookmarkStart w:id="68" w:name="hạn-chế-và-hướng-nghiên-cứu-tương-lai"/>
    <w:p>
      <w:pPr>
        <w:pStyle w:val="Heading2"/>
      </w:pPr>
      <w:r>
        <w:t xml:space="preserve">5.5 Hạn chế và hướng nghiên cứu tương lai</w:t>
      </w:r>
    </w:p>
    <w:bookmarkStart w:id="59"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Tầng 1 DAI (website, email, online sales) được sử dụng do hạn chế của các làn sóng 2009 và 2015, trong khi Tầng 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tĩnh</w:t>
      </w:r>
      <w:r>
        <w:t xml:space="preserve">, tức tại một thời điểm khảo sát, không thể nắm bắt tính động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lý thuyết năng lực động (Teece et al., 1997).</w:t>
      </w:r>
    </w:p>
    <w:bookmarkEnd w:id="59"/>
    <w:bookmarkStart w:id="60"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60"/>
    <w:bookmarkStart w:id="61"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61"/>
    <w:bookmarkStart w:id="62"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Tầng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Tầng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Tầng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Tầng 1 chứ không phải sự vắng mặt của cơ chế. Hạn chế này có hệ quả trực tiếp: các kết luận về DAI ở những bối cảnh chỉ đo được Tầng 1 nên được hiểu là chưa kết luận hơn là bác bỏ, và việc kiểm định lại với thước đo Tầng 2 và Tầng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62"/>
    <w:bookmarkStart w:id="63"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bookmarkEnd w:id="63"/>
    <w:bookmarkStart w:id="64"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64"/>
    <w:bookmarkStart w:id="65"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phổ thể chế chứ không phải một thang đo chính xác tuyệt đối.</w:t>
      </w:r>
    </w:p>
    <w:bookmarkEnd w:id="65"/>
    <w:bookmarkStart w:id="66"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66"/>
    <w:bookmarkStart w:id="67" w:name="hướng-nghiên-cứu-tương-lai"/>
    <w:p>
      <w:pPr>
        <w:pStyle w:val="Heading3"/>
      </w:pPr>
      <w:r>
        <w:t xml:space="preserve">5.5.4 Hướng nghiên cứu tương lai</w:t>
      </w:r>
    </w:p>
    <w:p>
      <w:pPr>
        <w:pStyle w:val="FirstParagraph"/>
      </w:pPr>
      <w:r>
        <w:t xml:space="preserve">Dựa trên các hạn chế trên, luận án đề xuất bảy hướng nghiên cứu ưu tiên:</w:t>
      </w:r>
    </w:p>
    <w:p>
      <w:pPr>
        <w:pStyle w:val="BodyText"/>
      </w:pPr>
      <w:r>
        <w:rPr>
          <w:bCs/>
          <w:b/>
        </w:rPr>
        <w:t xml:space="preserve">Thứ nhất</w:t>
      </w:r>
      <w:r>
        <w:t xml:space="preserve">, xây dựng đo lường DAI phong phú hơn (Tầng 2 và Tầng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đặc điểm nhà quản trị cấp cao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phân hệ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phổ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phổ thể chế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phổ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67"/>
    <w:bookmarkEnd w:id="68"/>
    <w:bookmarkStart w:id="73" w:name="kết-luận"/>
    <w:p>
      <w:pPr>
        <w:pStyle w:val="Heading2"/>
      </w:pPr>
      <w:r>
        <w:t xml:space="preserve">5.6 Kết luận</w:t>
      </w:r>
    </w:p>
    <w:bookmarkStart w:id="69"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02"/>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02"/>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02"/>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02"/>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02"/>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mất cấu trúc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02"/>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việc dạng chữ U ngược mất cấu trúc</w:t>
      </w:r>
      <w:r>
        <w:t xml:space="preserve"> </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02"/>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Tầng 2 (UPI) âm, bằng chứng đầu tiên rằng chuyển đổi thể chế cực mạnh có thể hòa tan chứ không chỉ dịch chuyển ngưỡng.</w:t>
      </w:r>
    </w:p>
    <w:p>
      <w:pPr>
        <w:numPr>
          <w:ilvl w:val="0"/>
          <w:numId w:val="1002"/>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02"/>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69"/>
    <w:bookmarkStart w:id="70"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phổ thể chế (Nhóm IV, điểm uốn khoảng 43%), duỗi thẳng gần tuyến tính ở biên trên nơi thể chế mạnh đẩy điểm uốn ra mức cường độ xuất khẩu rất cao (Singapore khoảng 88,6%, gần hoặc vượt biên dữ liệu quan sát), và mất cấu trúc ở biên dưới nơi thể chế yếu nhất; nghĩa là thể chế càng mạnh, doanh nghiệp càng duy trì lợi ích từ quốc tế hóa đến mức cường độ cao hơn trước khi đạt đỉnh.</w:t>
      </w:r>
    </w:p>
    <w:bookmarkEnd w:id="70"/>
    <w:bookmarkStart w:id="71"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71"/>
    <w:bookmarkStart w:id="72" w:name="lời-kết"/>
    <w:p>
      <w:pPr>
        <w:pStyle w:val="Heading3"/>
      </w:pPr>
      <w:r>
        <w:t xml:space="preserve">5.6.4 Lời kết</w:t>
      </w:r>
    </w:p>
    <w:p>
      <w:pPr>
        <w:pStyle w:val="FirstParagraph"/>
      </w:pPr>
      <w:r>
        <w:t xml:space="preserve">Luận án này bắt đầu từ câu hỏi đơn giản: quốc tế hóa có cải thiện hiệu quả hoạt động kinh doanh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bookmarkEnd w:id="72"/>
    <w:bookmarkEnd w:id="7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2026-06-23T11:04:16Z</dcterms:created>
  <dcterms:modified xsi:type="dcterms:W3CDTF">2026-06-23T11:04:16Z</dcterms:modified>
</cp:coreProperties>
</file>

<file path=docProps/custom.xml><?xml version="1.0" encoding="utf-8"?>
<Properties xmlns="http://schemas.openxmlformats.org/officeDocument/2006/custom-properties" xmlns:vt="http://schemas.openxmlformats.org/officeDocument/2006/docPropsVTypes"/>
</file>