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rPr>
          <w:bCs/>
          <w:b/>
        </w:rPr>
        <w:t xml:space="preserve">Design/methodology/approach.</w:t>
      </w:r>
      <w:r>
        <w:t xml:space="preserve"> </w:t>
      </w: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six-specification robustness battery.</w:t>
      </w:r>
    </w:p>
    <w:p>
      <w:pPr>
        <w:pStyle w:val="BodyText"/>
      </w:pPr>
      <w:r>
        <w:rPr>
          <w:bCs/>
          <w:b/>
        </w:rPr>
        <w:t xml:space="preserve">Findings.</w:t>
      </w:r>
      <w:r>
        <w:t xml:space="preserve"> </w:t>
      </w: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.010) in an economy where only 7.3% of establishments have a female top manager.</w:t>
      </w:r>
    </w:p>
    <w:p>
      <w:pPr>
        <w:pStyle w:val="BodyText"/>
      </w:pPr>
      <w:r>
        <w:rPr>
          <w:bCs/>
          <w:b/>
        </w:rPr>
        <w:t xml:space="preserve">Originality/value.</w:t>
      </w:r>
      <w:r>
        <w:t xml:space="preserve"> </w:t>
      </w: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 "S-curve" 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six-model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X88086f89d30295b73ade34a6a6d72f6030bebeb"/>
    <w:p>
      <w:pPr>
        <w:pStyle w:val="Heading2"/>
      </w:pPr>
      <w:r>
        <w:t xml:space="preserve">2. Theoretical background and hypotheses</w:t>
      </w:r>
    </w:p>
    <w:bookmarkStart w:id="22" w:name="X58b4a2bac7249899887da68b0dcbb86f7b7fbfc"/>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4fbd93fb316e536f8a437ac5742e8b4c7ee1018"/>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X3bfb382c2c55dfefc9cf50119d0a4db341c8bd9"/>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 "digital saturation" 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82ddcef42dbebd942c02ce8ecf68dfc62a6ed32"/>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331a79dca353244d8fda91308121173dabbe6d1"/>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X5eb800a903106e48a684e9ea9de39ed619b9df8"/>
    <w:p>
      <w:pPr>
        <w:pStyle w:val="Heading2"/>
      </w:pPr>
      <w:r>
        <w:t xml:space="preserve">3. Data and methods</w:t>
      </w:r>
    </w:p>
    <w:bookmarkStart w:id="28" w:name="X7539fb3dc2f98232f41138bc75cab658563f4ee"/>
    <w:p>
      <w:pPr>
        <w:pStyle w:val="Heading3"/>
      </w:pPr>
      <w:r>
        <w:t xml:space="preserve">3.1 Data</w:t>
      </w:r>
    </w:p>
    <w:p>
      <w:pPr>
        <w:pStyle w:val="FirstParagraph"/>
      </w:pPr>
      <w:r>
        <w:t xml:space="preserve">We use the complete Japan 2025 WBES cross-section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Xbcf9f12e79107fa2c089aaf13fc6c4fb773f1c2"/>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Xa83ec72a153c3d7cd2482b27771b2208929076d"/>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six-specification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X121719332867ee227f0a04b486098cee978c6e6"/>
    <w:p>
      <w:pPr>
        <w:pStyle w:val="Heading2"/>
      </w:pPr>
      <w:r>
        <w:t xml:space="preserve">4. Results</w:t>
      </w:r>
    </w:p>
    <w:bookmarkStart w:id="32" w:name="X7a5cd6f905c9fec6395baae1c3a78a2eed587f8"/>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Xb36314e1294c23fbce2e17cc88bf7de01b9cc9a"/>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0c905348f8008b913a46e1b1b9fa26000b5153e"/>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 "no turning point at all." 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.010)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X97e44523d2826f76d0ea345acd08f02a62919b2"/>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X3b49b1ebe616c23c8305e9430605963a9450daa"/>
    <w:p>
      <w:pPr>
        <w:pStyle w:val="Heading3"/>
      </w:pPr>
      <w:r>
        <w:t xml:space="preserve">4.5 Robustness (Table 5)</w:t>
      </w:r>
    </w:p>
    <w:p>
      <w:pPr>
        <w:pStyle w:val="FirstParagraph"/>
      </w:pPr>
      <w:r>
        <w:t xml:space="preserve">Table 5 subjects the central finding, a positive linear and a non-significant quadratic export effect, to six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X735612638e4e736e4693e459c258977262c0dfc"/>
    <w:p>
      <w:pPr>
        <w:pStyle w:val="Heading2"/>
      </w:pPr>
      <w:r>
        <w:t xml:space="preserve">5. Discussion</w:t>
      </w:r>
    </w:p>
    <w:bookmarkStart w:id="38" w:name="X0060750d2463828db873021f0e9a167307ab762"/>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ff8f54e05b09ddd68e826c85e8dd9accdfbcd4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527ee7bfc68b8648ca7c6de89f264566a929f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underscore that upper-echelons coefficients are context-laden: the same demographic variable carries different meaning in Japan than it would in an economy with a different firm-age distribution or a wider female-leadership margin.</w:t>
      </w:r>
    </w:p>
    <w:bookmarkEnd w:id="40"/>
    <w:bookmarkStart w:id="41" w:name="X47b33dbf897054d79ce3d759da46f0a1ef21be8"/>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X6b297cc947e0db5526be369b1f0f4ddc67b2415"/>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of eleven specifications.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 2</w:t>
      </w:r>
      <w:r>
        <w:t xml:space="preserve">, 78–96.</w:t>
      </w:r>
    </w:p>
    <w:p>
      <w:pPr>
        <w:pStyle w:val="BodyText"/>
      </w:pPr>
      <w:r>
        <w:t xml:space="preserve">Greenaway, D., &amp; Kneller, R. (2007). Firm heterogeneity, exporting and foreign direct investment.</w:t>
      </w:r>
      <w:r>
        <w:t xml:space="preserve"> </w:t>
      </w:r>
      <w:r>
        <w:rPr>
          <w:iCs/>
          <w:i/>
        </w:rPr>
        <w:t xml:space="preserve">Economic Journal, 117</w:t>
      </w:r>
      <w:r>
        <w:t xml:space="preserve">(517), F134–F161.</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multinationality–performance relationship.</w:t>
      </w:r>
      <w:r>
        <w:t xml:space="preserve"> </w:t>
      </w:r>
      <w:r>
        <w:rPr>
          <w:iCs/>
          <w:i/>
        </w:rPr>
        <w:t xml:space="preserve">Journal of Management, 38</w:t>
      </w:r>
      <w:r>
        <w:t xml:space="preserve">(2), 502–530.</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Magoshi, E., &amp; Chang, E. (2009). Diversity management and the effects on employees' organizational commitment: Evidence from Japan and Korea.</w:t>
      </w:r>
      <w:r>
        <w:t xml:space="preserve"> </w:t>
      </w:r>
      <w:r>
        <w:rPr>
          <w:iCs/>
          <w:i/>
        </w:rPr>
        <w:t xml:space="preserve">Journal of World Business, 44</w:t>
      </w:r>
      <w:r>
        <w:t xml:space="preserve">(1), 31–40.</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Estrin, S., Bhaumik, S. K., &amp; Peng, M. W. (2009). Institutions, resources, and entry strategies in emerging economies.</w:t>
      </w:r>
      <w:r>
        <w:t xml:space="preserve"> </w:t>
      </w:r>
      <w:r>
        <w:rPr>
          <w:iCs/>
          <w:i/>
        </w:rPr>
        <w:t xml:space="preserve">Strategic Management Journal, 30</w:t>
      </w:r>
      <w:r>
        <w:t xml:space="preserve">(1), 61–80.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p>
    <w:p>
      <w:pPr>
        <w:pStyle w:val="BodyText"/>
      </w:pPr>
      <w:r>
        <w:t xml:space="preserve">Sasaki, I., Kotlar, J., Ravasi, D., &amp; Vaara, E. (2020). Dealing with revered past: Historical identity statements and strategic change in Japanese family firms.</w:t>
      </w:r>
      <w:r>
        <w:t xml:space="preserve"> </w:t>
      </w:r>
      <w:r>
        <w:rPr>
          <w:iCs/>
          <w:i/>
        </w:rPr>
        <w:t xml:space="preserve">Strategic Management Journal, 41</w:t>
      </w:r>
      <w:r>
        <w:t xml:space="preserve">(3), 590–623.</w:t>
      </w:r>
    </w:p>
    <w:p>
      <w:pPr>
        <w:pStyle w:val="BodyText"/>
      </w:pPr>
      <w:r>
        <w:t xml:space="preserve">Sørensen, J. B., &amp; Stuart, T. E. (2000). Aging, obsolescence, and organizational innovation.</w:t>
      </w:r>
      <w:r>
        <w:t xml:space="preserve"> </w:t>
      </w:r>
      <w:r>
        <w:rPr>
          <w:iCs/>
          <w:i/>
        </w:rPr>
        <w:t xml:space="preserve">Administrative Science Quarterly, 45</w:t>
      </w:r>
      <w:r>
        <w:t xml:space="preserve">(1), 81–112.</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 38</w:t>
      </w:r>
      <w:r>
        <w:t xml:space="preserve">(2), 341–363.</w:t>
      </w:r>
    </w:p>
    <w:p>
      <w:pPr>
        <w:pStyle w:val="BodyText"/>
      </w:pPr>
      <w:r>
        <w:t xml:space="preserve">Zahra, S. A., Ireland, R. D., &amp; Hitt, M. A. (2000). International expansion by new venture firms: International diversity, mode of market entry, technological learning, and performance.</w:t>
      </w:r>
      <w:r>
        <w:t xml:space="preserve"> </w:t>
      </w:r>
      <w:r>
        <w:rPr>
          <w:iCs/>
          <w:i/>
        </w:rPr>
        <w:t xml:space="preserve">Academy of Management Journal, 43</w:t>
      </w:r>
      <w:r>
        <w:t xml:space="preserve">(5),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2026-06-13T04:09:42Z</dcterms:created>
  <dcterms:modified xsi:type="dcterms:W3CDTF">2026-06-13T04:09:42Z</dcterms:modified>
</cp:coreProperties>
</file>

<file path=docProps/custom.xml><?xml version="1.0" encoding="utf-8"?>
<Properties xmlns="http://schemas.openxmlformats.org/officeDocument/2006/custom-properties" xmlns:vt="http://schemas.openxmlformats.org/officeDocument/2006/docPropsVTypes"/>
</file>