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International Management (JIM,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t xml:space="preserve">We conduct a three-level meta-analytic regression analysis (MARA) examining whether country-level digital adoption (cDAI), institutional context regime (ICRV), and Digital Paradox Lifecycle (DPL) phase moderate the internationalization–performance (I→P) relationship, testing three theoretically motivated moderators that prior meta-analyses have not examined. 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The three-level MARA (Cheung, 2014; Van den Noortgate et al., 2013) decomposes heterogeneity into within-study and between-study components using</w:t>
      </w:r>
      <w:r>
        <w:t xml:space="preserve"> </w:t>
      </w:r>
      <w:r>
        <w:rPr>
          <w:rStyle w:val="VerbatimChar"/>
        </w:rPr>
        <w:t xml:space="preserve">metafor</w:t>
      </w:r>
      <w:r>
        <w:t xml:space="preserve"> </w:t>
      </w:r>
      <w:r>
        <w:t xml:space="preserve">in R, with the analysis plan registered on OSF (transparency registration) and inter-coder reliability κ ≥ 0.70 on a 20% 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prior baselines.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whereas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0.62,</w:t>
      </w:r>
      <w:r>
        <w:t xml:space="preserve"> </w:t>
      </w:r>
      <w:r>
        <w:rPr>
          <w:iCs/>
          <w:i/>
        </w:rPr>
        <w:t xml:space="preserve">p</w:t>
      </w:r>
      <w:r>
        <w:t xml:space="preserve"> </w:t>
      </w:r>
      <w:r>
        <w:t xml:space="preserve">= .734) are non-significant.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positive but attenuated. This first three-level MARA of I→P, spanning 49 economies,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62.4%)</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1.23 (p = .541),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62.4%.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International Management</w:t>
      </w:r>
      <w:r>
        <w:t xml:space="preserve"> </w:t>
      </w:r>
      <w:r>
        <w:t xml:space="preserve">(JIM, Elsevier).</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between the two authors following</w:t>
      </w:r>
      <w:r>
        <w:t xml:space="preserve"> </w:t>
      </w:r>
      <w:r>
        <w:t xml:space="preserve">a predetermined rule.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(the simplified form of Peterson &amp; Brown's (2005) estimator</w:t>
      </w:r>
      <w:r>
        <w:t xml:space="preserve"> </w:t>
      </w:r>
      <w:r>
        <w:t xml:space="preserve">0.98β + 0.05λ; identical for negative β and conservative for positive</w:t>
      </w:r>
      <w:r>
        <w:t xml:space="preserve"> </w:t>
      </w:r>
      <w:r>
        <w:t xml:space="preserve">β);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62.4%,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62.4%)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62.4%)</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62.4%)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2026-06-14T10:36:56Z</dcterms:created>
  <dcterms:modified xsi:type="dcterms:W3CDTF">2026-06-14T10:36:56Z</dcterms:modified>
</cp:coreProperties>
</file>

<file path=docProps/custom.xml><?xml version="1.0" encoding="utf-8"?>
<Properties xmlns="http://schemas.openxmlformats.org/officeDocument/2006/custom-properties" xmlns:vt="http://schemas.openxmlformats.org/officeDocument/2006/docPropsVTypes"/>
</file>