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World Business (JWB,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62.4%)</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1.23 (p = .541),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62.4%.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World Business</w:t>
      </w:r>
      <w:r>
        <w:t xml:space="preserve"> </w:t>
      </w:r>
      <w:r>
        <w:t xml:space="preserve">(JWB, Elsevier).</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(the simplified form of Peterson &amp; Brown's (2005) estimator</w:t>
      </w:r>
      <w:r>
        <w:t xml:space="preserve"> </w:t>
      </w:r>
      <w:r>
        <w:t xml:space="preserve">0.98β + 0.05λ; identical for negative β and conservative for positive</w:t>
      </w:r>
      <w:r>
        <w:t xml:space="preserve"> </w:t>
      </w:r>
      <w:r>
        <w:t xml:space="preserve">β);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62.4%,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62.4%)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62.4%)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2026-06-14T10:36:33Z</dcterms:created>
  <dcterms:modified xsi:type="dcterms:W3CDTF">2026-06-14T10:36:33Z</dcterms:modified>
</cp:coreProperties>
</file>

<file path=docProps/custom.xml><?xml version="1.0" encoding="utf-8"?>
<Properties xmlns="http://schemas.openxmlformats.org/officeDocument/2006/custom-properties" xmlns:vt="http://schemas.openxmlformats.org/officeDocument/2006/docPropsVTypes"/>
</file>